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4B94D8AE"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6F17EC2" w:rsidR="00E66558" w:rsidRDefault="009D71E8">
      <w:pPr>
        <w:pStyle w:val="Heading2"/>
        <w:rPr>
          <w:b w:val="0"/>
          <w:bCs/>
          <w:color w:val="auto"/>
          <w:sz w:val="24"/>
          <w:szCs w:val="24"/>
        </w:rPr>
      </w:pPr>
      <w:r>
        <w:rPr>
          <w:b w:val="0"/>
          <w:bCs/>
          <w:color w:val="auto"/>
          <w:sz w:val="24"/>
          <w:szCs w:val="24"/>
        </w:rPr>
        <w:t>This statement details our school’s use of pupil premium (and recovery premium</w:t>
      </w:r>
      <w:r w:rsidR="00F915B7">
        <w:rPr>
          <w:b w:val="0"/>
          <w:bCs/>
          <w:color w:val="auto"/>
          <w:sz w:val="24"/>
          <w:szCs w:val="24"/>
        </w:rPr>
        <w:t>)</w:t>
      </w:r>
      <w:r>
        <w:rPr>
          <w:b w:val="0"/>
          <w:bCs/>
          <w:color w:val="auto"/>
          <w:sz w:val="24"/>
          <w:szCs w:val="24"/>
        </w:rPr>
        <w:t xml:space="preserve"> for</w:t>
      </w:r>
      <w:r w:rsidR="00F915B7">
        <w:rPr>
          <w:b w:val="0"/>
          <w:bCs/>
          <w:color w:val="auto"/>
          <w:sz w:val="24"/>
          <w:szCs w:val="24"/>
        </w:rPr>
        <w:t xml:space="preserve"> 202</w:t>
      </w:r>
      <w:r w:rsidR="007E4865">
        <w:rPr>
          <w:b w:val="0"/>
          <w:bCs/>
          <w:color w:val="auto"/>
          <w:sz w:val="24"/>
          <w:szCs w:val="24"/>
        </w:rPr>
        <w:t>2</w:t>
      </w:r>
      <w:r w:rsidR="00F915B7">
        <w:rPr>
          <w:b w:val="0"/>
          <w:bCs/>
          <w:color w:val="auto"/>
          <w:sz w:val="24"/>
          <w:szCs w:val="24"/>
        </w:rPr>
        <w:t>-202</w:t>
      </w:r>
      <w:r w:rsidR="00AE4F0F">
        <w:rPr>
          <w:b w:val="0"/>
          <w:bCs/>
          <w:color w:val="auto"/>
          <w:sz w:val="24"/>
          <w:szCs w:val="24"/>
        </w:rPr>
        <w:t>6</w:t>
      </w:r>
      <w:r>
        <w:rPr>
          <w:b w:val="0"/>
          <w:bCs/>
          <w:color w:val="auto"/>
          <w:sz w:val="24"/>
          <w:szCs w:val="24"/>
        </w:rPr>
        <w:t xml:space="preserve"> to help improve the attainment of our disadvantaged pupils. </w:t>
      </w:r>
    </w:p>
    <w:p w14:paraId="2A7D54B3" w14:textId="564FB90B"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10003"/>
        <w:gridCol w:w="4557"/>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9A9C85B" w:rsidR="00E66558" w:rsidRDefault="005D16B2" w:rsidP="005D16B2">
            <w:pPr>
              <w:pStyle w:val="TableRow"/>
              <w:ind w:left="0"/>
            </w:pPr>
            <w:r>
              <w:t xml:space="preserve">Palmers Cross Primary School </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8150FED" w:rsidR="00E66558" w:rsidRDefault="001177AD">
            <w:pPr>
              <w:pStyle w:val="TableRow"/>
            </w:pPr>
            <w:r>
              <w:t>2</w:t>
            </w:r>
            <w:r w:rsidR="00AB5078">
              <w:t>21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BF3BE46" w:rsidR="00E66558" w:rsidRDefault="00E5545B">
            <w:pPr>
              <w:pStyle w:val="TableRow"/>
            </w:pPr>
            <w:r>
              <w:t>6</w:t>
            </w:r>
            <w:r w:rsidR="00A21BF7">
              <w:t>8</w:t>
            </w:r>
            <w:r>
              <w:t xml:space="preserve">      </w:t>
            </w:r>
            <w:r w:rsidR="003136B4">
              <w:t>3</w:t>
            </w:r>
            <w:r w:rsidR="00A21BF7">
              <w:t>1</w:t>
            </w:r>
            <w:r w:rsidR="00647B31">
              <w:t>%</w:t>
            </w:r>
            <w:r w:rsidR="00560D76">
              <w:t xml:space="preserve"> </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FFBF0B2" w:rsidR="00E66558" w:rsidRDefault="009D71E8">
            <w:pPr>
              <w:pStyle w:val="TableRow"/>
            </w:pPr>
            <w:r>
              <w:rPr>
                <w:szCs w:val="22"/>
              </w:rPr>
              <w:t xml:space="preserve">Academic year/years that our current pupil premium strategy plan covers </w:t>
            </w:r>
            <w:r>
              <w:rPr>
                <w:b/>
                <w:bCs/>
                <w:szCs w:val="22"/>
              </w:rPr>
              <w:t>(</w:t>
            </w:r>
            <w:r w:rsidR="00820F2A">
              <w:rPr>
                <w:b/>
                <w:bCs/>
                <w:szCs w:val="22"/>
              </w:rPr>
              <w:t>3-year</w:t>
            </w:r>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F1638" w14:textId="38958A55" w:rsidR="002A0115" w:rsidRDefault="00647B31">
            <w:pPr>
              <w:pStyle w:val="TableRow"/>
            </w:pPr>
            <w:r>
              <w:t>2023-2024</w:t>
            </w:r>
          </w:p>
          <w:p w14:paraId="0540412F" w14:textId="0AD7F2F3" w:rsidR="00647B31" w:rsidRDefault="00647B31">
            <w:pPr>
              <w:pStyle w:val="TableRow"/>
            </w:pPr>
            <w:r>
              <w:t>2024-2025</w:t>
            </w:r>
          </w:p>
          <w:p w14:paraId="2A7D54C2" w14:textId="6343D994" w:rsidR="00647B31" w:rsidRDefault="00647B31">
            <w:pPr>
              <w:pStyle w:val="TableRow"/>
            </w:pPr>
            <w:r>
              <w:t>2025-2026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41D280F" w:rsidR="00F915B7" w:rsidRDefault="00991906" w:rsidP="00AB5078">
            <w:pPr>
              <w:pStyle w:val="TableRow"/>
              <w:ind w:left="0"/>
            </w:pPr>
            <w:r>
              <w:t xml:space="preserve">November </w:t>
            </w:r>
            <w:r w:rsidR="008B79EC">
              <w:t>2025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D67463E" w:rsidR="00E66558" w:rsidRDefault="00647B31" w:rsidP="00991906">
            <w:pPr>
              <w:pStyle w:val="TableRow"/>
              <w:ind w:left="0"/>
            </w:pPr>
            <w:r>
              <w:t>September 202</w:t>
            </w:r>
            <w:r w:rsidR="008B79EC">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313FD85" w:rsidR="00E66558" w:rsidRDefault="00781B99">
            <w:pPr>
              <w:pStyle w:val="TableRow"/>
            </w:pPr>
            <w:r>
              <w:t>Louise Dollery</w:t>
            </w:r>
            <w:r w:rsidR="005545F9">
              <w:t>, Executive Leader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CA42FF0" w:rsidR="00E66558" w:rsidRDefault="00560D76">
            <w:pPr>
              <w:pStyle w:val="TableRow"/>
            </w:pPr>
            <w:r>
              <w:t>Dan Nicholls</w:t>
            </w:r>
            <w:r w:rsidR="005545F9">
              <w:t>, Headteacher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030C0B76" w:rsidR="00E66558" w:rsidRDefault="00607191">
            <w:pPr>
              <w:pStyle w:val="TableRow"/>
            </w:pPr>
            <w:r>
              <w:t xml:space="preserve">Chair of trustees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977DC39" w:rsidR="00E66558" w:rsidRDefault="00607191">
            <w:pPr>
              <w:pStyle w:val="TableRow"/>
            </w:pPr>
            <w:r>
              <w:t xml:space="preserve">Gill </w:t>
            </w:r>
            <w:proofErr w:type="spellStart"/>
            <w:r>
              <w:t>Bladdon</w:t>
            </w:r>
            <w:proofErr w:type="spellEnd"/>
            <w:r>
              <w:t xml:space="preserve"> </w:t>
            </w:r>
          </w:p>
        </w:tc>
      </w:tr>
      <w:bookmarkEnd w:id="2"/>
      <w:bookmarkEnd w:id="3"/>
      <w:bookmarkEnd w:id="4"/>
    </w:tbl>
    <w:p w14:paraId="3D66F2FA" w14:textId="77777777" w:rsidR="00560D76" w:rsidRDefault="00560D76">
      <w:pPr>
        <w:spacing w:before="480" w:line="240" w:lineRule="auto"/>
        <w:rPr>
          <w:b/>
          <w:color w:val="104F75"/>
          <w:sz w:val="32"/>
          <w:szCs w:val="32"/>
        </w:rPr>
      </w:pPr>
    </w:p>
    <w:p w14:paraId="2A7D54D3" w14:textId="673D8011" w:rsidR="00E66558" w:rsidRDefault="009D71E8">
      <w:pPr>
        <w:spacing w:before="480" w:line="240" w:lineRule="auto"/>
        <w:rPr>
          <w:b/>
          <w:color w:val="104F75"/>
          <w:sz w:val="32"/>
          <w:szCs w:val="32"/>
        </w:rPr>
      </w:pPr>
      <w:r>
        <w:rPr>
          <w:b/>
          <w:color w:val="104F75"/>
          <w:sz w:val="32"/>
          <w:szCs w:val="32"/>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CC465" w14:textId="5C0F98F0" w:rsidR="00E66558" w:rsidRDefault="009D71E8" w:rsidP="00F915B7">
            <w:pPr>
              <w:pStyle w:val="TableRow"/>
            </w:pPr>
            <w:r>
              <w:t xml:space="preserve">Pupil premium funding </w:t>
            </w:r>
            <w:r w:rsidR="00F915B7">
              <w:t>allocation in 202</w:t>
            </w:r>
            <w:r w:rsidR="00781B99">
              <w:t>3</w:t>
            </w:r>
            <w:r w:rsidR="00F915B7">
              <w:t>-2</w:t>
            </w:r>
            <w:r w:rsidR="00781B99">
              <w:t>4</w:t>
            </w:r>
          </w:p>
          <w:p w14:paraId="7E306B27" w14:textId="372B82E1" w:rsidR="00F915B7" w:rsidRDefault="00F915B7" w:rsidP="00F915B7">
            <w:pPr>
              <w:pStyle w:val="TableRow"/>
            </w:pPr>
            <w:r>
              <w:t>Pupil premium funding allocation in 202</w:t>
            </w:r>
            <w:r w:rsidR="00781B99">
              <w:t>4</w:t>
            </w:r>
            <w:r>
              <w:t>-2</w:t>
            </w:r>
            <w:r w:rsidR="00781B99">
              <w:t>5</w:t>
            </w:r>
          </w:p>
          <w:p w14:paraId="2A7D54D7" w14:textId="7A37B6A1" w:rsidR="00F90247" w:rsidRDefault="00F90247" w:rsidP="00F915B7">
            <w:pPr>
              <w:pStyle w:val="TableRow"/>
            </w:pPr>
            <w:r>
              <w:t>Pupil premium funding allocation in 202</w:t>
            </w:r>
            <w:r w:rsidR="00781B99">
              <w:t>5</w:t>
            </w:r>
            <w:r>
              <w:t>-2</w:t>
            </w:r>
            <w:r w:rsidR="00781B99">
              <w:t>6</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68283" w14:textId="77777777" w:rsidR="00F90247" w:rsidRDefault="00FA0277" w:rsidP="00BE246E">
            <w:pPr>
              <w:pStyle w:val="TableRow"/>
            </w:pPr>
            <w:r>
              <w:t>£109,125</w:t>
            </w:r>
          </w:p>
          <w:p w14:paraId="39F058C0" w14:textId="77777777" w:rsidR="0053009B" w:rsidRDefault="00270CDB" w:rsidP="00BE246E">
            <w:pPr>
              <w:pStyle w:val="TableRow"/>
            </w:pPr>
            <w:r>
              <w:t>£108</w:t>
            </w:r>
            <w:r w:rsidR="0062197E">
              <w:t>,</w:t>
            </w:r>
            <w:r>
              <w:t>040</w:t>
            </w:r>
          </w:p>
          <w:p w14:paraId="2A7D54D8" w14:textId="6AF4BFDC" w:rsidR="003136B4" w:rsidRDefault="006B15AB" w:rsidP="00BE246E">
            <w:pPr>
              <w:pStyle w:val="TableRow"/>
            </w:pPr>
            <w:r>
              <w:t>£109,105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4D05B394" w:rsidR="00912BF8" w:rsidRDefault="009D71E8" w:rsidP="00781B99">
            <w:pPr>
              <w:pStyle w:val="TableRow"/>
            </w:pPr>
            <w:r>
              <w:t xml:space="preserve">Recovery premium funding allocation </w:t>
            </w:r>
            <w:r w:rsidR="00F915B7">
              <w:t>in 202</w:t>
            </w:r>
            <w:r w:rsidR="00781B99">
              <w:t>3-24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370C8D1" w:rsidR="00270A48" w:rsidRDefault="000F5EEA">
            <w:pPr>
              <w:pStyle w:val="TableRow"/>
            </w:pPr>
            <w:r>
              <w:t>£15,586</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A955283" w:rsidR="00912BF8" w:rsidRDefault="00F93CFD" w:rsidP="00912BF8">
            <w:pPr>
              <w:pStyle w:val="TableRow"/>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6BF9C921" w:rsidR="00E66558" w:rsidRDefault="009D71E8">
            <w:pPr>
              <w:pStyle w:val="TableRow"/>
              <w:rPr>
                <w:b/>
              </w:rPr>
            </w:pPr>
            <w:r>
              <w:rPr>
                <w:b/>
              </w:rPr>
              <w:t xml:space="preserve">Total budget for </w:t>
            </w:r>
            <w:r w:rsidR="00F915B7">
              <w:rPr>
                <w:b/>
              </w:rPr>
              <w:t>20</w:t>
            </w:r>
            <w:r w:rsidR="00AE4F0F">
              <w:rPr>
                <w:b/>
              </w:rPr>
              <w:t>23</w:t>
            </w:r>
            <w:r w:rsidR="00F915B7">
              <w:rPr>
                <w:b/>
              </w:rPr>
              <w:t>-2</w:t>
            </w:r>
            <w:r w:rsidR="00AE4F0F">
              <w:rPr>
                <w:b/>
              </w:rPr>
              <w:t>4</w:t>
            </w:r>
          </w:p>
          <w:p w14:paraId="3E508DDC" w14:textId="03A2D4A7" w:rsidR="00F915B7" w:rsidRDefault="00F915B7">
            <w:pPr>
              <w:pStyle w:val="TableRow"/>
              <w:rPr>
                <w:b/>
              </w:rPr>
            </w:pPr>
            <w:r>
              <w:rPr>
                <w:b/>
              </w:rPr>
              <w:t>Total budget for 202</w:t>
            </w:r>
            <w:r w:rsidR="00AE4F0F">
              <w:rPr>
                <w:b/>
              </w:rPr>
              <w:t>4</w:t>
            </w:r>
            <w:r>
              <w:rPr>
                <w:b/>
              </w:rPr>
              <w:t>-2</w:t>
            </w:r>
            <w:r w:rsidR="00AE4F0F">
              <w:rPr>
                <w:b/>
              </w:rPr>
              <w:t>5</w:t>
            </w:r>
          </w:p>
          <w:p w14:paraId="2610CB76" w14:textId="6179C945" w:rsidR="00912BF8" w:rsidRDefault="00912BF8" w:rsidP="00912BF8">
            <w:pPr>
              <w:pStyle w:val="TableRow"/>
              <w:rPr>
                <w:b/>
              </w:rPr>
            </w:pPr>
            <w:r>
              <w:rPr>
                <w:b/>
              </w:rPr>
              <w:t>Total budget for 202</w:t>
            </w:r>
            <w:r w:rsidR="00AE4F0F">
              <w:rPr>
                <w:b/>
              </w:rPr>
              <w:t>5</w:t>
            </w:r>
            <w:r>
              <w:rPr>
                <w:b/>
              </w:rPr>
              <w:t>-2</w:t>
            </w:r>
            <w:r w:rsidR="00AE4F0F">
              <w:rPr>
                <w:b/>
              </w:rPr>
              <w:t>6</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AEED" w14:textId="2C12D473" w:rsidR="00912BF8" w:rsidRDefault="00E424B3">
            <w:pPr>
              <w:pStyle w:val="TableRow"/>
            </w:pPr>
            <w:r>
              <w:t>£</w:t>
            </w:r>
            <w:r w:rsidR="00F9556F">
              <w:t>124</w:t>
            </w:r>
            <w:r w:rsidR="00570C34">
              <w:t>,711</w:t>
            </w:r>
          </w:p>
          <w:p w14:paraId="2D32809E" w14:textId="5F7EB1DA" w:rsidR="007909DC" w:rsidRDefault="00913FE5">
            <w:pPr>
              <w:pStyle w:val="TableRow"/>
            </w:pPr>
            <w:r>
              <w:t>£108,040</w:t>
            </w:r>
          </w:p>
          <w:p w14:paraId="3B7E3C11" w14:textId="6AE9F99D" w:rsidR="003136B4" w:rsidRDefault="003136B4">
            <w:pPr>
              <w:pStyle w:val="TableRow"/>
            </w:pPr>
            <w:r>
              <w:t>£</w:t>
            </w:r>
            <w:r w:rsidR="006B15AB">
              <w:t>109,105</w:t>
            </w:r>
          </w:p>
          <w:p w14:paraId="2A7D54E2" w14:textId="51AE77B0" w:rsidR="007909DC" w:rsidRDefault="007909DC">
            <w:pPr>
              <w:pStyle w:val="TableRow"/>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14312" w:type="dxa"/>
        <w:tblCellMar>
          <w:left w:w="10" w:type="dxa"/>
          <w:right w:w="10" w:type="dxa"/>
        </w:tblCellMar>
        <w:tblLook w:val="04A0" w:firstRow="1" w:lastRow="0" w:firstColumn="1" w:lastColumn="0" w:noHBand="0" w:noVBand="1"/>
      </w:tblPr>
      <w:tblGrid>
        <w:gridCol w:w="14312"/>
      </w:tblGrid>
      <w:tr w:rsidR="00E66558" w14:paraId="2A7D54EA" w14:textId="77777777" w:rsidTr="00063D29">
        <w:tc>
          <w:tcPr>
            <w:tcW w:w="14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65CD0" w14:textId="2F925DC4" w:rsidR="006B3597" w:rsidRDefault="00C108BF" w:rsidP="006B3597">
            <w:pPr>
              <w:rPr>
                <w:rFonts w:cs="Arial"/>
                <w:iCs/>
                <w:sz w:val="20"/>
                <w:szCs w:val="20"/>
              </w:rPr>
            </w:pPr>
            <w:r>
              <w:rPr>
                <w:rFonts w:cs="Arial"/>
                <w:iCs/>
                <w:sz w:val="20"/>
                <w:szCs w:val="20"/>
              </w:rPr>
              <w:t xml:space="preserve">Our </w:t>
            </w:r>
            <w:r w:rsidR="00917FB2">
              <w:rPr>
                <w:rFonts w:cs="Arial"/>
                <w:iCs/>
                <w:sz w:val="20"/>
                <w:szCs w:val="20"/>
              </w:rPr>
              <w:t>s</w:t>
            </w:r>
            <w:r>
              <w:rPr>
                <w:rFonts w:cs="Arial"/>
                <w:iCs/>
                <w:sz w:val="20"/>
                <w:szCs w:val="20"/>
              </w:rPr>
              <w:t xml:space="preserve">chool’s intent for pupil premium is aligned with our vision </w:t>
            </w:r>
            <w:r w:rsidR="0069565D">
              <w:rPr>
                <w:rFonts w:cs="Arial"/>
                <w:iCs/>
                <w:sz w:val="20"/>
                <w:szCs w:val="20"/>
              </w:rPr>
              <w:t xml:space="preserve">statement.   Achieving the potential of our pupils is our </w:t>
            </w:r>
            <w:r w:rsidR="00917FB2">
              <w:rPr>
                <w:rFonts w:cs="Arial"/>
                <w:iCs/>
                <w:sz w:val="20"/>
                <w:szCs w:val="20"/>
              </w:rPr>
              <w:t xml:space="preserve">fundamental aim. We will be relentless in our drive to ensure </w:t>
            </w:r>
            <w:r w:rsidR="00326FD4">
              <w:rPr>
                <w:rFonts w:cs="Arial"/>
                <w:iCs/>
                <w:sz w:val="20"/>
                <w:szCs w:val="20"/>
              </w:rPr>
              <w:t xml:space="preserve">that </w:t>
            </w:r>
            <w:r w:rsidR="00483768">
              <w:rPr>
                <w:rFonts w:cs="Arial"/>
                <w:iCs/>
                <w:sz w:val="20"/>
                <w:szCs w:val="20"/>
              </w:rPr>
              <w:t xml:space="preserve">this is delivered.  We will challenge the view </w:t>
            </w:r>
            <w:r w:rsidR="00B027CA">
              <w:rPr>
                <w:rFonts w:cs="Arial"/>
                <w:iCs/>
                <w:sz w:val="20"/>
                <w:szCs w:val="20"/>
              </w:rPr>
              <w:t xml:space="preserve">that education alone cannot break the cycle </w:t>
            </w:r>
            <w:r w:rsidR="00BF5A64">
              <w:rPr>
                <w:rFonts w:cs="Arial"/>
                <w:iCs/>
                <w:sz w:val="20"/>
                <w:szCs w:val="20"/>
              </w:rPr>
              <w:t xml:space="preserve">of deprivation, low </w:t>
            </w:r>
            <w:r w:rsidR="002A164C">
              <w:rPr>
                <w:rFonts w:cs="Arial"/>
                <w:iCs/>
                <w:sz w:val="20"/>
                <w:szCs w:val="20"/>
              </w:rPr>
              <w:t>aspiration,</w:t>
            </w:r>
            <w:r w:rsidR="00BF5A64">
              <w:rPr>
                <w:rFonts w:cs="Arial"/>
                <w:iCs/>
                <w:sz w:val="20"/>
                <w:szCs w:val="20"/>
              </w:rPr>
              <w:t xml:space="preserve"> and underachievement.  We want to ensure everyone in our Trust has the personal resolve and support to succeed. </w:t>
            </w:r>
          </w:p>
          <w:p w14:paraId="514E5840" w14:textId="2758B860" w:rsidR="00F24B20" w:rsidRDefault="00F24B20" w:rsidP="006B3597">
            <w:pPr>
              <w:rPr>
                <w:rFonts w:cs="Arial"/>
                <w:b/>
                <w:bCs/>
                <w:iCs/>
                <w:sz w:val="20"/>
                <w:szCs w:val="20"/>
              </w:rPr>
            </w:pPr>
            <w:r w:rsidRPr="00F66278">
              <w:rPr>
                <w:rFonts w:cs="Arial"/>
                <w:b/>
                <w:bCs/>
                <w:iCs/>
                <w:sz w:val="20"/>
                <w:szCs w:val="20"/>
              </w:rPr>
              <w:t>A</w:t>
            </w:r>
            <w:r w:rsidR="00F66278" w:rsidRPr="00F66278">
              <w:rPr>
                <w:rFonts w:cs="Arial"/>
                <w:b/>
                <w:bCs/>
                <w:iCs/>
                <w:sz w:val="20"/>
                <w:szCs w:val="20"/>
              </w:rPr>
              <w:t>chieving the intended outcomes:</w:t>
            </w:r>
          </w:p>
          <w:p w14:paraId="0279F97D" w14:textId="77777777" w:rsidR="00EC1B77" w:rsidRPr="00EC1B77" w:rsidRDefault="00EC1B77" w:rsidP="00EC1B77">
            <w:pPr>
              <w:pStyle w:val="ListParagraph"/>
              <w:numPr>
                <w:ilvl w:val="0"/>
                <w:numId w:val="16"/>
              </w:numPr>
              <w:suppressAutoHyphens w:val="0"/>
              <w:autoSpaceDN/>
              <w:spacing w:before="100" w:beforeAutospacing="1" w:after="100" w:afterAutospacing="1" w:line="240" w:lineRule="auto"/>
              <w:ind w:right="240"/>
              <w:jc w:val="both"/>
              <w:rPr>
                <w:rFonts w:cs="Arial"/>
                <w:sz w:val="20"/>
                <w:szCs w:val="20"/>
                <w:u w:val="single"/>
              </w:rPr>
            </w:pPr>
            <w:r w:rsidRPr="00EC1B77">
              <w:rPr>
                <w:rFonts w:cs="Arial"/>
                <w:sz w:val="20"/>
                <w:szCs w:val="20"/>
              </w:rPr>
              <w:t>Improving the quality of teaching - ensuring all teaching is good or better thus ensuring that the quality of teaching experienced by all children is effective.</w:t>
            </w:r>
          </w:p>
          <w:p w14:paraId="1C64EB9B" w14:textId="77777777" w:rsidR="00EC1B77" w:rsidRPr="00EC1B77" w:rsidRDefault="00EC1B77" w:rsidP="00EC1B77">
            <w:pPr>
              <w:numPr>
                <w:ilvl w:val="0"/>
                <w:numId w:val="16"/>
              </w:numPr>
              <w:suppressAutoHyphens w:val="0"/>
              <w:autoSpaceDN/>
              <w:spacing w:after="0" w:line="240" w:lineRule="auto"/>
              <w:ind w:right="240"/>
              <w:jc w:val="both"/>
              <w:rPr>
                <w:rFonts w:cs="Arial"/>
                <w:sz w:val="20"/>
                <w:szCs w:val="20"/>
              </w:rPr>
            </w:pPr>
            <w:r w:rsidRPr="00EC1B77">
              <w:rPr>
                <w:rFonts w:cs="Arial"/>
                <w:sz w:val="20"/>
                <w:szCs w:val="20"/>
              </w:rPr>
              <w:t>To ensure Teaching Assistant support is provided to each class – ensuring support for small groups and 1-1 where needed.</w:t>
            </w:r>
          </w:p>
          <w:p w14:paraId="66AF5FD1" w14:textId="77777777" w:rsidR="00EC1B77" w:rsidRPr="00EC1B77" w:rsidRDefault="00EC1B77" w:rsidP="00EC1B77">
            <w:pPr>
              <w:numPr>
                <w:ilvl w:val="0"/>
                <w:numId w:val="16"/>
              </w:numPr>
              <w:suppressAutoHyphens w:val="0"/>
              <w:autoSpaceDN/>
              <w:spacing w:after="0" w:line="240" w:lineRule="auto"/>
              <w:ind w:right="240"/>
              <w:jc w:val="both"/>
              <w:rPr>
                <w:rFonts w:cs="Arial"/>
                <w:sz w:val="20"/>
                <w:szCs w:val="20"/>
              </w:rPr>
            </w:pPr>
            <w:r w:rsidRPr="00EC1B77">
              <w:rPr>
                <w:rFonts w:cs="Arial"/>
                <w:sz w:val="20"/>
                <w:szCs w:val="20"/>
              </w:rPr>
              <w:t>Provide teacher and HLTA-led intervention across school to the highest priority groups to ensure accelerated progress is made by disadvantaged pupils.</w:t>
            </w:r>
          </w:p>
          <w:p w14:paraId="70FBC2D8" w14:textId="3B2BD8B3" w:rsidR="00EC1B77" w:rsidRPr="00EC1B77" w:rsidRDefault="00EC1B77" w:rsidP="00EC1B77">
            <w:pPr>
              <w:numPr>
                <w:ilvl w:val="0"/>
                <w:numId w:val="16"/>
              </w:numPr>
              <w:suppressAutoHyphens w:val="0"/>
              <w:autoSpaceDN/>
              <w:spacing w:after="0" w:line="240" w:lineRule="auto"/>
              <w:ind w:right="240"/>
              <w:jc w:val="both"/>
              <w:rPr>
                <w:rFonts w:cs="Arial"/>
                <w:sz w:val="20"/>
                <w:szCs w:val="20"/>
              </w:rPr>
            </w:pPr>
            <w:r w:rsidRPr="00EC1B77">
              <w:rPr>
                <w:rFonts w:cs="Arial"/>
                <w:sz w:val="20"/>
                <w:szCs w:val="20"/>
              </w:rPr>
              <w:t xml:space="preserve">Provide a part time behaviour and emotional support worker(s) to ensure children’s mental health is supported within school, </w:t>
            </w:r>
            <w:r w:rsidR="007E5425" w:rsidRPr="00EC1B77">
              <w:rPr>
                <w:rFonts w:cs="Arial"/>
                <w:sz w:val="20"/>
                <w:szCs w:val="20"/>
              </w:rPr>
              <w:t>to</w:t>
            </w:r>
            <w:r w:rsidRPr="00EC1B77">
              <w:rPr>
                <w:rFonts w:cs="Arial"/>
                <w:sz w:val="20"/>
                <w:szCs w:val="20"/>
              </w:rPr>
              <w:t xml:space="preserve"> help them achieve.</w:t>
            </w:r>
          </w:p>
          <w:p w14:paraId="3B55BC0A" w14:textId="77777777" w:rsidR="00ED02E8" w:rsidRPr="00ED02E8" w:rsidRDefault="00EC1B77" w:rsidP="006B3597">
            <w:pPr>
              <w:numPr>
                <w:ilvl w:val="0"/>
                <w:numId w:val="16"/>
              </w:numPr>
              <w:suppressAutoHyphens w:val="0"/>
              <w:autoSpaceDN/>
              <w:spacing w:after="0" w:line="240" w:lineRule="auto"/>
              <w:ind w:right="240"/>
              <w:jc w:val="both"/>
              <w:rPr>
                <w:rFonts w:cs="Arial"/>
                <w:sz w:val="22"/>
                <w:szCs w:val="22"/>
              </w:rPr>
            </w:pPr>
            <w:r w:rsidRPr="00EC1B77">
              <w:rPr>
                <w:rFonts w:cs="Arial"/>
                <w:sz w:val="20"/>
                <w:szCs w:val="20"/>
              </w:rPr>
              <w:t xml:space="preserve">Support payment for activities, educational visits and residentials. Ensuring children have first-hand experiences to use in their learning in the </w:t>
            </w:r>
          </w:p>
          <w:p w14:paraId="2933127B" w14:textId="10CD9EE7" w:rsidR="00F66278" w:rsidRDefault="00EC1B77" w:rsidP="00ED02E8">
            <w:pPr>
              <w:suppressAutoHyphens w:val="0"/>
              <w:autoSpaceDN/>
              <w:spacing w:after="0" w:line="240" w:lineRule="auto"/>
              <w:ind w:left="720" w:right="240"/>
              <w:jc w:val="both"/>
              <w:rPr>
                <w:rFonts w:cs="Arial"/>
                <w:sz w:val="22"/>
                <w:szCs w:val="22"/>
              </w:rPr>
            </w:pPr>
            <w:r w:rsidRPr="00EC1B77">
              <w:rPr>
                <w:rFonts w:cs="Arial"/>
                <w:sz w:val="20"/>
                <w:szCs w:val="20"/>
              </w:rPr>
              <w:t>classroom</w:t>
            </w:r>
            <w:r w:rsidRPr="00492B92">
              <w:rPr>
                <w:rFonts w:cs="Arial"/>
                <w:sz w:val="22"/>
                <w:szCs w:val="22"/>
              </w:rPr>
              <w:t xml:space="preserve">. </w:t>
            </w:r>
          </w:p>
          <w:p w14:paraId="1F4BA440" w14:textId="77777777" w:rsidR="00F34EBC" w:rsidRDefault="00F34EBC" w:rsidP="00F34EBC">
            <w:pPr>
              <w:suppressAutoHyphens w:val="0"/>
              <w:autoSpaceDN/>
              <w:spacing w:after="0" w:line="240" w:lineRule="auto"/>
              <w:ind w:left="720" w:right="240"/>
              <w:jc w:val="both"/>
              <w:rPr>
                <w:rFonts w:cs="Arial"/>
                <w:sz w:val="22"/>
                <w:szCs w:val="22"/>
              </w:rPr>
            </w:pPr>
          </w:p>
          <w:p w14:paraId="03908A3E" w14:textId="61D30726" w:rsidR="007218DD" w:rsidRDefault="00F34EBC" w:rsidP="0063472D">
            <w:pPr>
              <w:suppressAutoHyphens w:val="0"/>
              <w:autoSpaceDN/>
              <w:spacing w:after="0" w:line="240" w:lineRule="auto"/>
              <w:ind w:right="240"/>
              <w:jc w:val="both"/>
              <w:rPr>
                <w:rFonts w:cs="Arial"/>
                <w:iCs/>
                <w:sz w:val="20"/>
                <w:szCs w:val="20"/>
              </w:rPr>
            </w:pPr>
            <w:r w:rsidRPr="004F7E68">
              <w:rPr>
                <w:rFonts w:cs="Arial"/>
                <w:iCs/>
                <w:sz w:val="20"/>
                <w:szCs w:val="20"/>
              </w:rPr>
              <w:t xml:space="preserve">Palmers Cross Primary is an inclusive school, and our intention is to provide </w:t>
            </w:r>
            <w:r w:rsidR="00214679">
              <w:rPr>
                <w:rFonts w:cs="Arial"/>
                <w:iCs/>
                <w:sz w:val="20"/>
                <w:szCs w:val="20"/>
              </w:rPr>
              <w:t xml:space="preserve">an </w:t>
            </w:r>
            <w:r w:rsidRPr="004F7E68">
              <w:rPr>
                <w:rFonts w:cs="Arial"/>
                <w:iCs/>
                <w:sz w:val="20"/>
                <w:szCs w:val="20"/>
              </w:rPr>
              <w:t xml:space="preserve">inspirational and inclusive teaching and learning environment with excellent teaching and learning.  Our aims are to address the main barriers our pupils face through rigorous tracking, careful planning and targeted support and </w:t>
            </w:r>
            <w:r w:rsidR="009E6A82">
              <w:rPr>
                <w:rFonts w:cs="Arial"/>
                <w:iCs/>
                <w:sz w:val="20"/>
                <w:szCs w:val="20"/>
              </w:rPr>
              <w:t xml:space="preserve">               </w:t>
            </w:r>
            <w:r w:rsidRPr="004F7E68">
              <w:rPr>
                <w:rFonts w:cs="Arial"/>
                <w:iCs/>
                <w:sz w:val="20"/>
                <w:szCs w:val="20"/>
              </w:rPr>
              <w:t>intervention, provide all our pupils the access and opportunities to achieve academic succe</w:t>
            </w:r>
            <w:r w:rsidR="004F7E68" w:rsidRPr="004F7E68">
              <w:rPr>
                <w:rFonts w:cs="Arial"/>
                <w:iCs/>
                <w:sz w:val="20"/>
                <w:szCs w:val="20"/>
              </w:rPr>
              <w:t xml:space="preserve">ss. </w:t>
            </w:r>
          </w:p>
          <w:p w14:paraId="2FCE7E25" w14:textId="77777777" w:rsidR="007218DD" w:rsidRDefault="007218DD" w:rsidP="0063472D">
            <w:pPr>
              <w:suppressAutoHyphens w:val="0"/>
              <w:autoSpaceDN/>
              <w:spacing w:after="0" w:line="240" w:lineRule="auto"/>
              <w:ind w:right="240"/>
              <w:jc w:val="both"/>
              <w:rPr>
                <w:rFonts w:cs="Arial"/>
                <w:iCs/>
                <w:sz w:val="20"/>
                <w:szCs w:val="20"/>
              </w:rPr>
            </w:pPr>
          </w:p>
          <w:p w14:paraId="5BA9D801" w14:textId="06EA62DA" w:rsidR="004F7E68" w:rsidRDefault="004F7E68" w:rsidP="0063472D">
            <w:pPr>
              <w:suppressAutoHyphens w:val="0"/>
              <w:autoSpaceDN/>
              <w:spacing w:after="0" w:line="240" w:lineRule="auto"/>
              <w:ind w:right="240"/>
              <w:jc w:val="both"/>
              <w:rPr>
                <w:rFonts w:cs="Arial"/>
                <w:sz w:val="20"/>
                <w:szCs w:val="20"/>
              </w:rPr>
            </w:pPr>
            <w:r w:rsidRPr="004F7E68">
              <w:rPr>
                <w:rFonts w:cs="Arial"/>
                <w:iCs/>
                <w:sz w:val="20"/>
                <w:szCs w:val="20"/>
              </w:rPr>
              <w:t>Our school</w:t>
            </w:r>
            <w:r w:rsidR="0063472D" w:rsidRPr="004F7E68">
              <w:rPr>
                <w:rFonts w:cs="Arial"/>
                <w:sz w:val="20"/>
                <w:szCs w:val="20"/>
              </w:rPr>
              <w:t xml:space="preserve"> understands the barriers and challenges </w:t>
            </w:r>
            <w:r w:rsidR="00603BE9" w:rsidRPr="004F7E68">
              <w:rPr>
                <w:rFonts w:cs="Arial"/>
                <w:sz w:val="20"/>
                <w:szCs w:val="20"/>
              </w:rPr>
              <w:t xml:space="preserve">that our school community faces and how these are displayed. Common barriers </w:t>
            </w:r>
            <w:r w:rsidR="00FC01CC" w:rsidRPr="004F7E68">
              <w:rPr>
                <w:rFonts w:cs="Arial"/>
                <w:sz w:val="20"/>
                <w:szCs w:val="20"/>
              </w:rPr>
              <w:t xml:space="preserve">to learning for </w:t>
            </w:r>
            <w:r w:rsidR="00A66A27">
              <w:rPr>
                <w:rFonts w:cs="Arial"/>
                <w:sz w:val="20"/>
                <w:szCs w:val="20"/>
              </w:rPr>
              <w:t xml:space="preserve">                   </w:t>
            </w:r>
            <w:r w:rsidR="00FC01CC" w:rsidRPr="004F7E68">
              <w:rPr>
                <w:rFonts w:cs="Arial"/>
                <w:sz w:val="20"/>
                <w:szCs w:val="20"/>
              </w:rPr>
              <w:t>disadvantaged pupils at Palmers Cross can be weak communication and language skills</w:t>
            </w:r>
            <w:r w:rsidR="000A509A" w:rsidRPr="004F7E68">
              <w:rPr>
                <w:rFonts w:cs="Arial"/>
                <w:sz w:val="20"/>
                <w:szCs w:val="20"/>
              </w:rPr>
              <w:t xml:space="preserve">, lack of confidence and self-esteem, behavioural </w:t>
            </w:r>
            <w:r w:rsidR="007B0F5B" w:rsidRPr="004F7E68">
              <w:rPr>
                <w:rFonts w:cs="Arial"/>
                <w:sz w:val="20"/>
                <w:szCs w:val="20"/>
              </w:rPr>
              <w:t>difficulties,</w:t>
            </w:r>
            <w:r w:rsidR="000A509A" w:rsidRPr="004F7E68">
              <w:rPr>
                <w:rFonts w:cs="Arial"/>
                <w:sz w:val="20"/>
                <w:szCs w:val="20"/>
              </w:rPr>
              <w:t xml:space="preserve"> and attendance </w:t>
            </w:r>
            <w:r w:rsidR="00E57A1A">
              <w:rPr>
                <w:rFonts w:cs="Arial"/>
                <w:sz w:val="20"/>
                <w:szCs w:val="20"/>
              </w:rPr>
              <w:t xml:space="preserve">and punctuality </w:t>
            </w:r>
            <w:r w:rsidR="000A509A" w:rsidRPr="004F7E68">
              <w:rPr>
                <w:rFonts w:cs="Arial"/>
                <w:sz w:val="20"/>
                <w:szCs w:val="20"/>
              </w:rPr>
              <w:t xml:space="preserve">issues. </w:t>
            </w:r>
            <w:r w:rsidR="00E81D76" w:rsidRPr="004F7E68">
              <w:rPr>
                <w:rFonts w:cs="Arial"/>
                <w:sz w:val="20"/>
                <w:szCs w:val="20"/>
              </w:rPr>
              <w:t xml:space="preserve"> The activity</w:t>
            </w:r>
            <w:r w:rsidR="00A66A27">
              <w:rPr>
                <w:rFonts w:cs="Arial"/>
                <w:sz w:val="20"/>
                <w:szCs w:val="20"/>
              </w:rPr>
              <w:t xml:space="preserve"> </w:t>
            </w:r>
            <w:r w:rsidR="00E81D76" w:rsidRPr="004F7E68">
              <w:rPr>
                <w:rFonts w:cs="Arial"/>
                <w:sz w:val="20"/>
                <w:szCs w:val="20"/>
              </w:rPr>
              <w:t>school have outlined within this statement</w:t>
            </w:r>
            <w:r w:rsidR="00E056DE">
              <w:rPr>
                <w:rFonts w:cs="Arial"/>
                <w:sz w:val="20"/>
                <w:szCs w:val="20"/>
              </w:rPr>
              <w:t xml:space="preserve"> </w:t>
            </w:r>
            <w:r w:rsidR="00FC2708">
              <w:rPr>
                <w:rFonts w:cs="Arial"/>
                <w:sz w:val="20"/>
                <w:szCs w:val="20"/>
              </w:rPr>
              <w:t xml:space="preserve">is also intended to support their needs regardless of whether </w:t>
            </w:r>
            <w:r w:rsidR="00614766">
              <w:rPr>
                <w:rFonts w:cs="Arial"/>
                <w:sz w:val="20"/>
                <w:szCs w:val="20"/>
              </w:rPr>
              <w:t xml:space="preserve">pupils are disadvantaged or not. </w:t>
            </w:r>
            <w:r w:rsidR="007B0F5B">
              <w:rPr>
                <w:rFonts w:cs="Arial"/>
                <w:sz w:val="20"/>
                <w:szCs w:val="20"/>
              </w:rPr>
              <w:t xml:space="preserve"> </w:t>
            </w:r>
            <w:r w:rsidR="00622C7D">
              <w:rPr>
                <w:rFonts w:cs="Arial"/>
                <w:sz w:val="20"/>
                <w:szCs w:val="20"/>
              </w:rPr>
              <w:t xml:space="preserve"> We reserve the right to allocate </w:t>
            </w:r>
            <w:r w:rsidR="004A5628">
              <w:rPr>
                <w:rFonts w:cs="Arial"/>
                <w:sz w:val="20"/>
                <w:szCs w:val="20"/>
              </w:rPr>
              <w:t xml:space="preserve">the pupil premium funding to support any pupils or groups of pupils the school legitimately identified as being socially disadvantaged. </w:t>
            </w:r>
          </w:p>
          <w:p w14:paraId="68DEE8B6" w14:textId="4A926BB4" w:rsidR="00E57A1A" w:rsidRDefault="00E57A1A" w:rsidP="0063472D">
            <w:pPr>
              <w:suppressAutoHyphens w:val="0"/>
              <w:autoSpaceDN/>
              <w:spacing w:after="0" w:line="240" w:lineRule="auto"/>
              <w:ind w:right="240"/>
              <w:jc w:val="both"/>
              <w:rPr>
                <w:rFonts w:cs="Arial"/>
                <w:sz w:val="20"/>
                <w:szCs w:val="20"/>
              </w:rPr>
            </w:pPr>
          </w:p>
          <w:p w14:paraId="6E3AAD35" w14:textId="5C13BBC5" w:rsidR="00E57A1A" w:rsidRDefault="00E57A1A" w:rsidP="0063472D">
            <w:pPr>
              <w:suppressAutoHyphens w:val="0"/>
              <w:autoSpaceDN/>
              <w:spacing w:after="0" w:line="240" w:lineRule="auto"/>
              <w:ind w:right="240"/>
              <w:jc w:val="both"/>
              <w:rPr>
                <w:rFonts w:cs="Arial"/>
                <w:sz w:val="20"/>
                <w:szCs w:val="20"/>
              </w:rPr>
            </w:pPr>
          </w:p>
          <w:p w14:paraId="7C175598" w14:textId="263BB10A" w:rsidR="00E57A1A" w:rsidRDefault="00E57A1A" w:rsidP="0063472D">
            <w:pPr>
              <w:suppressAutoHyphens w:val="0"/>
              <w:autoSpaceDN/>
              <w:spacing w:after="0" w:line="240" w:lineRule="auto"/>
              <w:ind w:right="240"/>
              <w:jc w:val="both"/>
              <w:rPr>
                <w:rFonts w:cs="Arial"/>
                <w:sz w:val="20"/>
                <w:szCs w:val="20"/>
              </w:rPr>
            </w:pPr>
          </w:p>
          <w:p w14:paraId="5B039A2F" w14:textId="343ED6D7" w:rsidR="00E57A1A" w:rsidRDefault="00E57A1A" w:rsidP="0063472D">
            <w:pPr>
              <w:suppressAutoHyphens w:val="0"/>
              <w:autoSpaceDN/>
              <w:spacing w:after="0" w:line="240" w:lineRule="auto"/>
              <w:ind w:right="240"/>
              <w:jc w:val="both"/>
              <w:rPr>
                <w:rFonts w:cs="Arial"/>
                <w:sz w:val="20"/>
                <w:szCs w:val="20"/>
              </w:rPr>
            </w:pPr>
          </w:p>
          <w:p w14:paraId="69C4C0CF" w14:textId="3C25A2B6" w:rsidR="00E57A1A" w:rsidRDefault="00E57A1A" w:rsidP="0063472D">
            <w:pPr>
              <w:suppressAutoHyphens w:val="0"/>
              <w:autoSpaceDN/>
              <w:spacing w:after="0" w:line="240" w:lineRule="auto"/>
              <w:ind w:right="240"/>
              <w:jc w:val="both"/>
              <w:rPr>
                <w:rFonts w:cs="Arial"/>
                <w:sz w:val="20"/>
                <w:szCs w:val="20"/>
              </w:rPr>
            </w:pPr>
          </w:p>
          <w:p w14:paraId="0ADFEDF9" w14:textId="77777777" w:rsidR="00E57A1A" w:rsidRDefault="00E57A1A" w:rsidP="0063472D">
            <w:pPr>
              <w:suppressAutoHyphens w:val="0"/>
              <w:autoSpaceDN/>
              <w:spacing w:after="0" w:line="240" w:lineRule="auto"/>
              <w:ind w:right="240"/>
              <w:jc w:val="both"/>
              <w:rPr>
                <w:rFonts w:cs="Arial"/>
                <w:sz w:val="20"/>
                <w:szCs w:val="20"/>
              </w:rPr>
            </w:pPr>
          </w:p>
          <w:p w14:paraId="34C0BA06" w14:textId="77777777" w:rsidR="004F7E68" w:rsidRPr="004F7E68" w:rsidRDefault="004F7E68" w:rsidP="0063472D">
            <w:pPr>
              <w:suppressAutoHyphens w:val="0"/>
              <w:autoSpaceDN/>
              <w:spacing w:after="0" w:line="240" w:lineRule="auto"/>
              <w:ind w:right="240"/>
              <w:jc w:val="both"/>
              <w:rPr>
                <w:rFonts w:cs="Arial"/>
                <w:sz w:val="20"/>
                <w:szCs w:val="20"/>
              </w:rPr>
            </w:pPr>
          </w:p>
          <w:p w14:paraId="4FA36A35" w14:textId="77777777" w:rsidR="006B3597" w:rsidRPr="001923A9" w:rsidRDefault="006B3597" w:rsidP="006B3597">
            <w:pPr>
              <w:rPr>
                <w:rFonts w:cs="Arial"/>
                <w:b/>
                <w:bCs/>
                <w:iCs/>
                <w:sz w:val="20"/>
                <w:szCs w:val="20"/>
              </w:rPr>
            </w:pPr>
            <w:r w:rsidRPr="001923A9">
              <w:rPr>
                <w:rFonts w:cs="Arial"/>
                <w:b/>
                <w:bCs/>
                <w:iCs/>
                <w:sz w:val="20"/>
                <w:szCs w:val="20"/>
              </w:rPr>
              <w:lastRenderedPageBreak/>
              <w:t>Our ultimate objectives are:</w:t>
            </w:r>
          </w:p>
          <w:p w14:paraId="4B2E5A81" w14:textId="77777777" w:rsidR="006B3597" w:rsidRPr="00710775" w:rsidRDefault="006B3597" w:rsidP="006B3597">
            <w:pPr>
              <w:pStyle w:val="ListParagraph"/>
              <w:numPr>
                <w:ilvl w:val="0"/>
                <w:numId w:val="20"/>
              </w:numPr>
              <w:rPr>
                <w:rFonts w:cs="Arial"/>
                <w:iCs/>
                <w:sz w:val="20"/>
                <w:szCs w:val="20"/>
              </w:rPr>
            </w:pPr>
            <w:r w:rsidRPr="00710775">
              <w:rPr>
                <w:rFonts w:cs="Arial"/>
                <w:iCs/>
                <w:sz w:val="20"/>
                <w:szCs w:val="20"/>
              </w:rPr>
              <w:t>To narrow the attainment gap between disadvantaged and non-disadvantaged pupils.</w:t>
            </w:r>
          </w:p>
          <w:p w14:paraId="4C52EC3E" w14:textId="0144F0A6" w:rsidR="006B3597" w:rsidRDefault="006B3597" w:rsidP="006B3597">
            <w:pPr>
              <w:pStyle w:val="ListParagraph"/>
              <w:numPr>
                <w:ilvl w:val="0"/>
                <w:numId w:val="20"/>
              </w:numPr>
              <w:rPr>
                <w:rFonts w:cs="Arial"/>
                <w:iCs/>
                <w:sz w:val="20"/>
                <w:szCs w:val="20"/>
              </w:rPr>
            </w:pPr>
            <w:r w:rsidRPr="00710775">
              <w:rPr>
                <w:rFonts w:cs="Arial"/>
                <w:iCs/>
                <w:sz w:val="20"/>
                <w:szCs w:val="20"/>
              </w:rPr>
              <w:t>For all disadvantaged pupils in school to make or exceed nationally expected progress rates.</w:t>
            </w:r>
          </w:p>
          <w:p w14:paraId="4CD0BF82" w14:textId="744259DB" w:rsidR="003638F0" w:rsidRPr="00710775" w:rsidRDefault="003638F0" w:rsidP="006B3597">
            <w:pPr>
              <w:pStyle w:val="ListParagraph"/>
              <w:numPr>
                <w:ilvl w:val="0"/>
                <w:numId w:val="20"/>
              </w:numPr>
              <w:rPr>
                <w:rFonts w:cs="Arial"/>
                <w:iCs/>
                <w:sz w:val="20"/>
                <w:szCs w:val="20"/>
              </w:rPr>
            </w:pPr>
            <w:r>
              <w:rPr>
                <w:rFonts w:cs="Arial"/>
                <w:iCs/>
                <w:sz w:val="20"/>
                <w:szCs w:val="20"/>
              </w:rPr>
              <w:t xml:space="preserve">To narrow the gap in attendance </w:t>
            </w:r>
            <w:r w:rsidR="00C22E22">
              <w:rPr>
                <w:rFonts w:cs="Arial"/>
                <w:iCs/>
                <w:sz w:val="20"/>
                <w:szCs w:val="20"/>
              </w:rPr>
              <w:t xml:space="preserve">between </w:t>
            </w:r>
            <w:r>
              <w:rPr>
                <w:rFonts w:cs="Arial"/>
                <w:iCs/>
                <w:sz w:val="20"/>
                <w:szCs w:val="20"/>
              </w:rPr>
              <w:t xml:space="preserve">disadvantaged and non-disadvantaged pupils. </w:t>
            </w:r>
          </w:p>
          <w:p w14:paraId="243DD726" w14:textId="77777777" w:rsidR="006B3597" w:rsidRPr="00710775" w:rsidRDefault="006B3597" w:rsidP="006B3597">
            <w:pPr>
              <w:pStyle w:val="ListParagraph"/>
              <w:numPr>
                <w:ilvl w:val="0"/>
                <w:numId w:val="20"/>
              </w:numPr>
              <w:rPr>
                <w:rFonts w:cs="Arial"/>
                <w:iCs/>
                <w:sz w:val="20"/>
                <w:szCs w:val="20"/>
              </w:rPr>
            </w:pPr>
            <w:r w:rsidRPr="00710775">
              <w:rPr>
                <w:rFonts w:cs="Arial"/>
                <w:iCs/>
                <w:sz w:val="20"/>
                <w:szCs w:val="20"/>
              </w:rPr>
              <w:t>To support our pupil’s health and well-being to enable them to access learning at an appropriate level.</w:t>
            </w:r>
          </w:p>
          <w:p w14:paraId="64CBE048" w14:textId="620BA8E9" w:rsidR="00307C5B" w:rsidRPr="003369EE" w:rsidRDefault="006B3597" w:rsidP="00D70080">
            <w:pPr>
              <w:rPr>
                <w:rFonts w:cs="Arial"/>
                <w:b/>
                <w:bCs/>
                <w:iCs/>
                <w:sz w:val="20"/>
                <w:szCs w:val="20"/>
              </w:rPr>
            </w:pPr>
            <w:r w:rsidRPr="003369EE">
              <w:rPr>
                <w:rFonts w:cs="Arial"/>
                <w:b/>
                <w:bCs/>
                <w:iCs/>
                <w:sz w:val="20"/>
                <w:szCs w:val="20"/>
              </w:rPr>
              <w:t>At Palmers Cross we aim to do this through</w:t>
            </w:r>
            <w:r w:rsidR="00D70080" w:rsidRPr="003369EE">
              <w:rPr>
                <w:rFonts w:cs="Arial"/>
                <w:b/>
                <w:bCs/>
                <w:iCs/>
                <w:sz w:val="20"/>
                <w:szCs w:val="20"/>
              </w:rPr>
              <w:t>:</w:t>
            </w:r>
          </w:p>
          <w:p w14:paraId="01DFF5CA" w14:textId="1A7C9B61" w:rsidR="00D70080" w:rsidRPr="00E57A1A" w:rsidRDefault="006B3597" w:rsidP="00E57A1A">
            <w:pPr>
              <w:pStyle w:val="ListParagraph"/>
              <w:numPr>
                <w:ilvl w:val="0"/>
                <w:numId w:val="25"/>
              </w:numPr>
              <w:rPr>
                <w:rFonts w:cs="Arial"/>
                <w:iCs/>
                <w:sz w:val="20"/>
                <w:szCs w:val="20"/>
              </w:rPr>
            </w:pPr>
            <w:r w:rsidRPr="00E57A1A">
              <w:rPr>
                <w:rFonts w:cs="Arial"/>
                <w:iCs/>
                <w:sz w:val="20"/>
                <w:szCs w:val="20"/>
              </w:rPr>
              <w:t>Ensuring that teaching and learning opportunities meet the needs of all pupil</w:t>
            </w:r>
            <w:r w:rsidR="00D840C8" w:rsidRPr="00E57A1A">
              <w:rPr>
                <w:rFonts w:cs="Arial"/>
                <w:iCs/>
                <w:sz w:val="20"/>
                <w:szCs w:val="20"/>
              </w:rPr>
              <w:t>s.</w:t>
            </w:r>
          </w:p>
          <w:p w14:paraId="15A7BCA1" w14:textId="39619F92" w:rsidR="006B3597" w:rsidRPr="00E57A1A" w:rsidRDefault="006B3597" w:rsidP="00E57A1A">
            <w:pPr>
              <w:pStyle w:val="ListParagraph"/>
              <w:numPr>
                <w:ilvl w:val="0"/>
                <w:numId w:val="25"/>
              </w:numPr>
              <w:rPr>
                <w:rFonts w:cs="Arial"/>
                <w:iCs/>
                <w:sz w:val="20"/>
                <w:szCs w:val="20"/>
              </w:rPr>
            </w:pPr>
            <w:r w:rsidRPr="00E57A1A">
              <w:rPr>
                <w:rFonts w:cs="Arial"/>
                <w:iCs/>
                <w:sz w:val="20"/>
                <w:szCs w:val="20"/>
              </w:rPr>
              <w:t>Ensuring that appropriate provision is made for pupils who belong to vulnerable groups, this includes ensuring that the needs of socially disadvantaged pupils are assessed and addressed.</w:t>
            </w:r>
          </w:p>
          <w:p w14:paraId="71337AE1" w14:textId="014A3E17" w:rsidR="00A97E37" w:rsidRPr="00E57A1A" w:rsidRDefault="00A97E37" w:rsidP="00E57A1A">
            <w:pPr>
              <w:pStyle w:val="ListParagraph"/>
              <w:numPr>
                <w:ilvl w:val="0"/>
                <w:numId w:val="25"/>
              </w:numPr>
              <w:rPr>
                <w:rFonts w:cs="Arial"/>
                <w:iCs/>
                <w:sz w:val="20"/>
                <w:szCs w:val="20"/>
              </w:rPr>
            </w:pPr>
            <w:r w:rsidRPr="00E57A1A">
              <w:rPr>
                <w:rFonts w:cs="Arial"/>
                <w:iCs/>
                <w:sz w:val="20"/>
                <w:szCs w:val="20"/>
              </w:rPr>
              <w:t xml:space="preserve">Adopting a whole school approach in which all staff take responsibility </w:t>
            </w:r>
            <w:r w:rsidR="00983149" w:rsidRPr="00E57A1A">
              <w:rPr>
                <w:rFonts w:cs="Arial"/>
                <w:iCs/>
                <w:sz w:val="20"/>
                <w:szCs w:val="20"/>
              </w:rPr>
              <w:t xml:space="preserve">for disadvantaged pupil outcomes and raise expectations of what they can achieve. </w:t>
            </w:r>
          </w:p>
          <w:p w14:paraId="2A7D54E9" w14:textId="0FD5D10A" w:rsidR="00E66558" w:rsidRPr="00595DAC" w:rsidRDefault="00C65859" w:rsidP="006B3597">
            <w:pPr>
              <w:rPr>
                <w:rFonts w:cs="Arial"/>
                <w:sz w:val="20"/>
                <w:szCs w:val="20"/>
              </w:rPr>
            </w:pPr>
            <w:r w:rsidRPr="00595DAC">
              <w:rPr>
                <w:rFonts w:cs="Arial"/>
                <w:sz w:val="20"/>
                <w:szCs w:val="20"/>
              </w:rPr>
              <w:t xml:space="preserve">Our school will continually evaluate our strategy </w:t>
            </w:r>
            <w:r w:rsidR="007D66F8" w:rsidRPr="00595DAC">
              <w:rPr>
                <w:rFonts w:cs="Arial"/>
                <w:sz w:val="20"/>
                <w:szCs w:val="20"/>
              </w:rPr>
              <w:t xml:space="preserve">to ensure that </w:t>
            </w:r>
            <w:r w:rsidR="00595DAC" w:rsidRPr="00595DAC">
              <w:rPr>
                <w:rFonts w:cs="Arial"/>
                <w:sz w:val="20"/>
                <w:szCs w:val="20"/>
              </w:rPr>
              <w:t xml:space="preserve">we are responsive to challenges and individual needs. </w:t>
            </w:r>
          </w:p>
        </w:tc>
      </w:tr>
    </w:tbl>
    <w:p w14:paraId="4CB24C3C" w14:textId="77777777" w:rsidR="00D840C8" w:rsidRDefault="00D840C8">
      <w:pPr>
        <w:pStyle w:val="Heading2"/>
        <w:spacing w:before="600"/>
      </w:pPr>
    </w:p>
    <w:p w14:paraId="1D1909B3" w14:textId="77777777" w:rsidR="004B08CB" w:rsidRDefault="004B08CB" w:rsidP="004B08CB"/>
    <w:p w14:paraId="6444E7A9" w14:textId="77777777" w:rsidR="004B08CB" w:rsidRDefault="004B08CB" w:rsidP="004B08CB"/>
    <w:p w14:paraId="15465BF6" w14:textId="77777777" w:rsidR="004B08CB" w:rsidRDefault="004B08CB" w:rsidP="004B08CB"/>
    <w:p w14:paraId="647076D1" w14:textId="77777777" w:rsidR="004B08CB" w:rsidRDefault="004B08CB" w:rsidP="004B08CB"/>
    <w:p w14:paraId="78ABB739" w14:textId="77777777" w:rsidR="004B08CB" w:rsidRPr="004B08CB" w:rsidRDefault="004B08CB" w:rsidP="004B08CB"/>
    <w:p w14:paraId="2A7D54EB" w14:textId="2237AB45"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2267"/>
        <w:gridCol w:w="12293"/>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9F3319"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9F3319" w:rsidRDefault="009F3319" w:rsidP="009F3319">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B643" w14:textId="77777777" w:rsidR="009F3319" w:rsidRPr="00710775" w:rsidRDefault="00072E9E" w:rsidP="000E447E">
            <w:pPr>
              <w:pStyle w:val="TableRowCentered"/>
              <w:jc w:val="left"/>
              <w:rPr>
                <w:b/>
                <w:bCs/>
                <w:sz w:val="20"/>
              </w:rPr>
            </w:pPr>
            <w:r w:rsidRPr="00710775">
              <w:rPr>
                <w:b/>
                <w:bCs/>
                <w:sz w:val="20"/>
              </w:rPr>
              <w:t xml:space="preserve">Oral and speaking skills of pupils in Early Years are below age-related expectations. </w:t>
            </w:r>
          </w:p>
          <w:p w14:paraId="2A7D54F1" w14:textId="0BA6A7F8" w:rsidR="00072E9E" w:rsidRPr="00710775" w:rsidRDefault="00E13A06" w:rsidP="000E447E">
            <w:pPr>
              <w:pStyle w:val="TableRowCentered"/>
              <w:jc w:val="left"/>
              <w:rPr>
                <w:bCs/>
                <w:sz w:val="20"/>
              </w:rPr>
            </w:pPr>
            <w:r w:rsidRPr="00710775">
              <w:rPr>
                <w:bCs/>
                <w:sz w:val="20"/>
              </w:rPr>
              <w:t xml:space="preserve">Baseline evidence has shown that a higher number of disadvantaged </w:t>
            </w:r>
            <w:r w:rsidR="00846504" w:rsidRPr="00710775">
              <w:rPr>
                <w:bCs/>
                <w:sz w:val="20"/>
              </w:rPr>
              <w:t xml:space="preserve">pupils are below ARE in communication and language when they enter school.  </w:t>
            </w:r>
            <w:r w:rsidR="00025E9A" w:rsidRPr="00710775">
              <w:rPr>
                <w:bCs/>
                <w:sz w:val="20"/>
              </w:rPr>
              <w:t xml:space="preserve">Some pupils also require specialist speech and language interventions. </w:t>
            </w:r>
          </w:p>
        </w:tc>
      </w:tr>
      <w:tr w:rsidR="009F3319"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9F3319" w:rsidRDefault="009F3319" w:rsidP="009F3319">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3292" w14:textId="40A20178" w:rsidR="009F3319" w:rsidRPr="00710775" w:rsidRDefault="005E42E7" w:rsidP="00137D0F">
            <w:pPr>
              <w:pStyle w:val="TableRowCentered"/>
              <w:jc w:val="left"/>
              <w:rPr>
                <w:b/>
                <w:bCs/>
                <w:iCs/>
                <w:sz w:val="20"/>
              </w:rPr>
            </w:pPr>
            <w:r w:rsidRPr="00710775">
              <w:rPr>
                <w:b/>
                <w:bCs/>
                <w:iCs/>
                <w:sz w:val="20"/>
              </w:rPr>
              <w:t xml:space="preserve">The percentage of PP pupils achieving ARE in writing is below </w:t>
            </w:r>
            <w:r w:rsidR="009F5594" w:rsidRPr="00710775">
              <w:rPr>
                <w:b/>
                <w:bCs/>
                <w:iCs/>
                <w:sz w:val="20"/>
              </w:rPr>
              <w:t xml:space="preserve">that of </w:t>
            </w:r>
            <w:r w:rsidR="007C12B3" w:rsidRPr="00710775">
              <w:rPr>
                <w:b/>
                <w:bCs/>
                <w:iCs/>
                <w:sz w:val="20"/>
              </w:rPr>
              <w:t>n</w:t>
            </w:r>
            <w:r w:rsidR="005969E6" w:rsidRPr="00710775">
              <w:rPr>
                <w:b/>
                <w:bCs/>
                <w:iCs/>
                <w:sz w:val="20"/>
              </w:rPr>
              <w:t xml:space="preserve">on-PP pupils in KS1 and KS2. </w:t>
            </w:r>
            <w:r w:rsidR="00581369" w:rsidRPr="00710775">
              <w:rPr>
                <w:b/>
                <w:bCs/>
                <w:iCs/>
                <w:sz w:val="20"/>
              </w:rPr>
              <w:t xml:space="preserve"> Disadvantaged pupils are mostly</w:t>
            </w:r>
            <w:r w:rsidR="00D323A9" w:rsidRPr="00710775">
              <w:rPr>
                <w:b/>
                <w:bCs/>
                <w:iCs/>
                <w:sz w:val="20"/>
              </w:rPr>
              <w:t xml:space="preserve"> </w:t>
            </w:r>
            <w:r w:rsidR="0087553A" w:rsidRPr="00710775">
              <w:rPr>
                <w:b/>
                <w:bCs/>
                <w:iCs/>
                <w:sz w:val="20"/>
              </w:rPr>
              <w:t xml:space="preserve">outperformed </w:t>
            </w:r>
            <w:r w:rsidR="003C44ED" w:rsidRPr="00710775">
              <w:rPr>
                <w:b/>
                <w:bCs/>
                <w:iCs/>
                <w:sz w:val="20"/>
              </w:rPr>
              <w:t xml:space="preserve">by their peers in reading, writing and maths </w:t>
            </w:r>
            <w:r w:rsidR="001500DB" w:rsidRPr="00710775">
              <w:rPr>
                <w:b/>
                <w:bCs/>
                <w:iCs/>
                <w:sz w:val="20"/>
              </w:rPr>
              <w:t xml:space="preserve">by the end of KS2. </w:t>
            </w:r>
          </w:p>
          <w:p w14:paraId="2A7D54F4" w14:textId="7DC82798" w:rsidR="001500DB" w:rsidRPr="00710775" w:rsidRDefault="001500DB" w:rsidP="00137D0F">
            <w:pPr>
              <w:pStyle w:val="TableRowCentered"/>
              <w:jc w:val="left"/>
              <w:rPr>
                <w:bCs/>
                <w:sz w:val="20"/>
              </w:rPr>
            </w:pPr>
            <w:r w:rsidRPr="00710775">
              <w:rPr>
                <w:bCs/>
                <w:sz w:val="20"/>
              </w:rPr>
              <w:t xml:space="preserve">Evidence from school data in KS1 and </w:t>
            </w:r>
            <w:r w:rsidR="00236B35" w:rsidRPr="00710775">
              <w:rPr>
                <w:bCs/>
                <w:sz w:val="20"/>
              </w:rPr>
              <w:t>end of KS2 which highlights PP pupils are outperformed by their peers who are not elig</w:t>
            </w:r>
            <w:r w:rsidR="00BA417D" w:rsidRPr="00710775">
              <w:rPr>
                <w:bCs/>
                <w:sz w:val="20"/>
              </w:rPr>
              <w:t xml:space="preserve">ible for PP in writing.   This has an overall impact on the percentage of PP pupils achieving combined by the end of KS1 and KS2 compared to </w:t>
            </w:r>
            <w:r w:rsidR="007C12B3" w:rsidRPr="00710775">
              <w:rPr>
                <w:bCs/>
                <w:sz w:val="20"/>
              </w:rPr>
              <w:t>n</w:t>
            </w:r>
            <w:r w:rsidR="00BA417D" w:rsidRPr="00710775">
              <w:rPr>
                <w:bCs/>
                <w:sz w:val="20"/>
              </w:rPr>
              <w:t xml:space="preserve">on-PP pupils. </w:t>
            </w:r>
          </w:p>
        </w:tc>
      </w:tr>
      <w:tr w:rsidR="009F3319"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9F3319" w:rsidRDefault="009F3319" w:rsidP="009F3319">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EE110" w14:textId="77777777" w:rsidR="009F3319" w:rsidRPr="00710775" w:rsidRDefault="009E19AE" w:rsidP="009F3319">
            <w:pPr>
              <w:pStyle w:val="TableRowCentered"/>
              <w:jc w:val="left"/>
              <w:rPr>
                <w:b/>
                <w:bCs/>
                <w:sz w:val="20"/>
              </w:rPr>
            </w:pPr>
            <w:r w:rsidRPr="00710775">
              <w:rPr>
                <w:b/>
                <w:bCs/>
                <w:sz w:val="20"/>
              </w:rPr>
              <w:t xml:space="preserve">Attendance and punctuality are not always seen as a high priority. </w:t>
            </w:r>
          </w:p>
          <w:p w14:paraId="2A7D54F7" w14:textId="720E91BF" w:rsidR="00B031E4" w:rsidRPr="00710775" w:rsidRDefault="00F239E3" w:rsidP="009F3319">
            <w:pPr>
              <w:pStyle w:val="TableRowCentered"/>
              <w:jc w:val="left"/>
              <w:rPr>
                <w:sz w:val="20"/>
              </w:rPr>
            </w:pPr>
            <w:r w:rsidRPr="00710775">
              <w:rPr>
                <w:sz w:val="20"/>
              </w:rPr>
              <w:t xml:space="preserve">Due to this attendance is lower than that of non-disadvantaged pupils. </w:t>
            </w:r>
            <w:r w:rsidR="00E00CFE" w:rsidRPr="00710775">
              <w:rPr>
                <w:sz w:val="20"/>
              </w:rPr>
              <w:t xml:space="preserve">The percentage of persistent absence percentage is higher </w:t>
            </w:r>
            <w:r w:rsidR="007C12B3" w:rsidRPr="00710775">
              <w:rPr>
                <w:sz w:val="20"/>
              </w:rPr>
              <w:t xml:space="preserve">for PP pupils compared to non-pp pupils.  </w:t>
            </w:r>
            <w:r w:rsidR="008348CC" w:rsidRPr="00710775">
              <w:rPr>
                <w:sz w:val="20"/>
              </w:rPr>
              <w:t xml:space="preserve">This overview time has a negative impact on </w:t>
            </w:r>
            <w:r w:rsidR="009A319C" w:rsidRPr="00710775">
              <w:rPr>
                <w:sz w:val="20"/>
              </w:rPr>
              <w:t xml:space="preserve">progress of disadvantaged pupils. </w:t>
            </w:r>
          </w:p>
        </w:tc>
      </w:tr>
      <w:tr w:rsidR="009F3319"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9F3319" w:rsidRDefault="009F3319" w:rsidP="009F3319">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2C1EE" w14:textId="77777777" w:rsidR="009F3319" w:rsidRPr="00710775" w:rsidRDefault="00C208E0" w:rsidP="0043054A">
            <w:pPr>
              <w:pStyle w:val="TableRowCentered"/>
              <w:jc w:val="left"/>
              <w:rPr>
                <w:b/>
                <w:bCs/>
                <w:iCs/>
                <w:sz w:val="20"/>
              </w:rPr>
            </w:pPr>
            <w:r w:rsidRPr="00710775">
              <w:rPr>
                <w:b/>
                <w:bCs/>
                <w:iCs/>
                <w:sz w:val="20"/>
              </w:rPr>
              <w:t xml:space="preserve">An increasing percentage of pupils need additional social, emotional and behavioural support. </w:t>
            </w:r>
          </w:p>
          <w:p w14:paraId="2A7D54FA" w14:textId="26E3CF82" w:rsidR="009A319C" w:rsidRPr="00710775" w:rsidRDefault="009A319C" w:rsidP="0043054A">
            <w:pPr>
              <w:pStyle w:val="TableRowCentered"/>
              <w:jc w:val="left"/>
              <w:rPr>
                <w:iCs/>
                <w:sz w:val="20"/>
              </w:rPr>
            </w:pPr>
            <w:r w:rsidRPr="00710775">
              <w:rPr>
                <w:iCs/>
                <w:sz w:val="20"/>
              </w:rPr>
              <w:t>School behaviour logs</w:t>
            </w:r>
            <w:r w:rsidR="00736C6A" w:rsidRPr="00710775">
              <w:rPr>
                <w:iCs/>
                <w:sz w:val="20"/>
              </w:rPr>
              <w:t xml:space="preserve">, </w:t>
            </w:r>
            <w:r w:rsidR="00370C9C" w:rsidRPr="00710775">
              <w:rPr>
                <w:iCs/>
                <w:sz w:val="20"/>
              </w:rPr>
              <w:t>observations</w:t>
            </w:r>
            <w:r w:rsidR="00736C6A" w:rsidRPr="00710775">
              <w:rPr>
                <w:iCs/>
                <w:sz w:val="20"/>
              </w:rPr>
              <w:t xml:space="preserve"> and meetings</w:t>
            </w:r>
            <w:r w:rsidR="00370C9C" w:rsidRPr="00710775">
              <w:rPr>
                <w:iCs/>
                <w:sz w:val="20"/>
              </w:rPr>
              <w:t xml:space="preserve"> support this challenge. </w:t>
            </w:r>
            <w:r w:rsidR="00736C6A" w:rsidRPr="00710775">
              <w:rPr>
                <w:iCs/>
                <w:sz w:val="20"/>
              </w:rPr>
              <w:t xml:space="preserve">School supports </w:t>
            </w:r>
            <w:r w:rsidR="006830DD" w:rsidRPr="00710775">
              <w:rPr>
                <w:iCs/>
                <w:sz w:val="20"/>
              </w:rPr>
              <w:t>an increasing number of families through</w:t>
            </w:r>
            <w:r w:rsidR="00E807AB" w:rsidRPr="00710775">
              <w:rPr>
                <w:iCs/>
                <w:sz w:val="20"/>
              </w:rPr>
              <w:t xml:space="preserve"> Early Help, referrals to Reflections, working closely with strengthening </w:t>
            </w:r>
            <w:proofErr w:type="gramStart"/>
            <w:r w:rsidR="00E807AB" w:rsidRPr="00710775">
              <w:rPr>
                <w:iCs/>
                <w:sz w:val="20"/>
              </w:rPr>
              <w:t>families</w:t>
            </w:r>
            <w:proofErr w:type="gramEnd"/>
            <w:r w:rsidR="00E807AB" w:rsidRPr="00710775">
              <w:rPr>
                <w:iCs/>
                <w:sz w:val="20"/>
              </w:rPr>
              <w:t xml:space="preserve"> hub and </w:t>
            </w:r>
            <w:r w:rsidR="004279B0" w:rsidRPr="00710775">
              <w:rPr>
                <w:iCs/>
                <w:sz w:val="20"/>
              </w:rPr>
              <w:t xml:space="preserve">emotional and behavioural support in school. </w:t>
            </w:r>
          </w:p>
        </w:tc>
      </w:tr>
      <w:tr w:rsidR="001D234C" w14:paraId="3CEA51D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41E2D" w14:textId="0452C515" w:rsidR="001D234C" w:rsidRDefault="001D234C" w:rsidP="009F3319">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9082C" w14:textId="77777777" w:rsidR="001D234C" w:rsidRPr="00710775" w:rsidRDefault="00E84FE5" w:rsidP="0043054A">
            <w:pPr>
              <w:pStyle w:val="TableRowCentered"/>
              <w:jc w:val="left"/>
              <w:rPr>
                <w:b/>
                <w:bCs/>
                <w:iCs/>
                <w:sz w:val="20"/>
              </w:rPr>
            </w:pPr>
            <w:r w:rsidRPr="00710775">
              <w:rPr>
                <w:b/>
                <w:bCs/>
                <w:iCs/>
                <w:sz w:val="20"/>
              </w:rPr>
              <w:t xml:space="preserve">Pupils receive limited opportunities outside of the school environment that will </w:t>
            </w:r>
            <w:r w:rsidR="00A24745" w:rsidRPr="00710775">
              <w:rPr>
                <w:b/>
                <w:bCs/>
                <w:iCs/>
                <w:sz w:val="20"/>
              </w:rPr>
              <w:t xml:space="preserve">improve </w:t>
            </w:r>
            <w:r w:rsidR="00B031E4" w:rsidRPr="00710775">
              <w:rPr>
                <w:b/>
                <w:bCs/>
                <w:iCs/>
                <w:sz w:val="20"/>
              </w:rPr>
              <w:t xml:space="preserve">their wider understanding and cultural capital. </w:t>
            </w:r>
            <w:r w:rsidR="007A7A79" w:rsidRPr="00710775">
              <w:rPr>
                <w:b/>
                <w:bCs/>
                <w:iCs/>
                <w:sz w:val="20"/>
              </w:rPr>
              <w:t xml:space="preserve"> </w:t>
            </w:r>
          </w:p>
          <w:p w14:paraId="78966695" w14:textId="42FE8881" w:rsidR="004279B0" w:rsidRPr="00710775" w:rsidRDefault="002646EF" w:rsidP="0043054A">
            <w:pPr>
              <w:pStyle w:val="TableRowCentered"/>
              <w:jc w:val="left"/>
              <w:rPr>
                <w:iCs/>
                <w:sz w:val="20"/>
              </w:rPr>
            </w:pPr>
            <w:r w:rsidRPr="00710775">
              <w:rPr>
                <w:iCs/>
                <w:sz w:val="20"/>
              </w:rPr>
              <w:t xml:space="preserve">Pupil observations, surveys and </w:t>
            </w:r>
            <w:r w:rsidR="001408E7" w:rsidRPr="00710775">
              <w:rPr>
                <w:iCs/>
                <w:sz w:val="20"/>
              </w:rPr>
              <w:t>responses to trips suggest that PP pupils have</w:t>
            </w:r>
            <w:r w:rsidR="00480342" w:rsidRPr="00710775">
              <w:rPr>
                <w:iCs/>
                <w:sz w:val="20"/>
              </w:rPr>
              <w:t xml:space="preserve"> </w:t>
            </w:r>
            <w:r w:rsidR="001408E7" w:rsidRPr="00710775">
              <w:rPr>
                <w:iCs/>
                <w:sz w:val="20"/>
              </w:rPr>
              <w:t>limited experience</w:t>
            </w:r>
            <w:r w:rsidR="00480342" w:rsidRPr="00710775">
              <w:rPr>
                <w:iCs/>
                <w:sz w:val="20"/>
              </w:rPr>
              <w:t xml:space="preserve">s to improve their cultural capital outside of their school learning environment. </w:t>
            </w:r>
          </w:p>
        </w:tc>
      </w:tr>
    </w:tbl>
    <w:p w14:paraId="514FD45A" w14:textId="77777777" w:rsidR="00913FE5" w:rsidRDefault="00913FE5">
      <w:pPr>
        <w:pStyle w:val="Heading2"/>
        <w:spacing w:before="600"/>
      </w:pPr>
      <w:bookmarkStart w:id="16" w:name="_Toc443397160"/>
    </w:p>
    <w:p w14:paraId="2A7D54FF" w14:textId="1A79E4EB"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9745"/>
      </w:tblGrid>
      <w:tr w:rsidR="00E66558" w14:paraId="2A7D5503" w14:textId="77777777" w:rsidTr="003B440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97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3B440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C5D2067" w:rsidR="00E66558" w:rsidRPr="000B0431" w:rsidRDefault="007005FE">
            <w:pPr>
              <w:pStyle w:val="TableRow"/>
              <w:rPr>
                <w:sz w:val="20"/>
                <w:szCs w:val="20"/>
              </w:rPr>
            </w:pPr>
            <w:r w:rsidRPr="000B0431">
              <w:rPr>
                <w:sz w:val="20"/>
                <w:szCs w:val="20"/>
              </w:rPr>
              <w:t xml:space="preserve">Improve the </w:t>
            </w:r>
            <w:r w:rsidR="008E663E" w:rsidRPr="000B0431">
              <w:rPr>
                <w:sz w:val="20"/>
                <w:szCs w:val="20"/>
              </w:rPr>
              <w:t xml:space="preserve">language skills and vocabulary of disadvantaged pupils. </w:t>
            </w:r>
          </w:p>
        </w:tc>
        <w:tc>
          <w:tcPr>
            <w:tcW w:w="9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E47ED" w14:textId="0CC3F9BE" w:rsidR="00FD008B" w:rsidRPr="000B0431" w:rsidRDefault="008E663E" w:rsidP="00FD008B">
            <w:pPr>
              <w:pStyle w:val="TableRowCentered"/>
              <w:jc w:val="left"/>
              <w:rPr>
                <w:sz w:val="20"/>
              </w:rPr>
            </w:pPr>
            <w:r w:rsidRPr="000B0431">
              <w:rPr>
                <w:sz w:val="20"/>
              </w:rPr>
              <w:t xml:space="preserve">Increase the percentage of disadvantaged pupils achieving </w:t>
            </w:r>
            <w:r w:rsidR="00BB678C" w:rsidRPr="000B0431">
              <w:rPr>
                <w:sz w:val="20"/>
              </w:rPr>
              <w:t>GLD in CLL by the end of reception.</w:t>
            </w:r>
          </w:p>
          <w:p w14:paraId="5550AA1D" w14:textId="2BD44D8D" w:rsidR="00BB678C" w:rsidRPr="000B0431" w:rsidRDefault="00B93842" w:rsidP="00FD008B">
            <w:pPr>
              <w:pStyle w:val="TableRowCentered"/>
              <w:jc w:val="left"/>
              <w:rPr>
                <w:sz w:val="20"/>
              </w:rPr>
            </w:pPr>
            <w:r w:rsidRPr="000B0431">
              <w:rPr>
                <w:sz w:val="20"/>
              </w:rPr>
              <w:t xml:space="preserve">Percentage of disadvantaged pupils </w:t>
            </w:r>
            <w:r w:rsidR="00173A48" w:rsidRPr="000B0431">
              <w:rPr>
                <w:sz w:val="20"/>
              </w:rPr>
              <w:t>pass their phonics screening</w:t>
            </w:r>
            <w:r w:rsidR="00A916EC" w:rsidRPr="000B0431">
              <w:rPr>
                <w:sz w:val="20"/>
              </w:rPr>
              <w:t xml:space="preserve"> and will be in</w:t>
            </w:r>
            <w:r w:rsidR="00696C0B">
              <w:rPr>
                <w:sz w:val="20"/>
              </w:rPr>
              <w:t xml:space="preserve"> </w:t>
            </w:r>
            <w:r w:rsidR="00A916EC" w:rsidRPr="000B0431">
              <w:rPr>
                <w:sz w:val="20"/>
              </w:rPr>
              <w:t>line with NA.</w:t>
            </w:r>
          </w:p>
          <w:p w14:paraId="68D07BEE" w14:textId="7A670380" w:rsidR="00A916EC" w:rsidRPr="000B0431" w:rsidRDefault="00A916EC" w:rsidP="00FD008B">
            <w:pPr>
              <w:pStyle w:val="TableRowCentered"/>
              <w:jc w:val="left"/>
              <w:rPr>
                <w:sz w:val="20"/>
              </w:rPr>
            </w:pPr>
            <w:r w:rsidRPr="000B0431">
              <w:rPr>
                <w:sz w:val="20"/>
              </w:rPr>
              <w:t xml:space="preserve">Wild Tribe sessions are well established </w:t>
            </w:r>
            <w:r w:rsidR="00DA0A77" w:rsidRPr="000B0431">
              <w:rPr>
                <w:sz w:val="20"/>
              </w:rPr>
              <w:t>in Early Years to provide further opportunities for CLL.</w:t>
            </w:r>
          </w:p>
          <w:p w14:paraId="2A7D5505" w14:textId="632EB825" w:rsidR="00E66558" w:rsidRPr="000B0431" w:rsidRDefault="00E66558">
            <w:pPr>
              <w:pStyle w:val="TableRowCentered"/>
              <w:jc w:val="left"/>
              <w:rPr>
                <w:sz w:val="20"/>
              </w:rPr>
            </w:pPr>
          </w:p>
        </w:tc>
      </w:tr>
      <w:tr w:rsidR="00E66558" w14:paraId="2A7D5509" w14:textId="77777777" w:rsidTr="003B440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DF3FFDC" w:rsidR="00E66558" w:rsidRPr="000B0431" w:rsidRDefault="004C15CE">
            <w:pPr>
              <w:pStyle w:val="TableRow"/>
              <w:rPr>
                <w:sz w:val="20"/>
                <w:szCs w:val="20"/>
              </w:rPr>
            </w:pPr>
            <w:r w:rsidRPr="000B0431">
              <w:rPr>
                <w:sz w:val="20"/>
                <w:szCs w:val="20"/>
              </w:rPr>
              <w:t xml:space="preserve">Improved writing attainment for disadvantaged </w:t>
            </w:r>
            <w:r w:rsidR="00FD14C3" w:rsidRPr="000B0431">
              <w:rPr>
                <w:sz w:val="20"/>
                <w:szCs w:val="20"/>
              </w:rPr>
              <w:t xml:space="preserve">pupils by the end of KS1 and KS2. </w:t>
            </w:r>
          </w:p>
        </w:tc>
        <w:tc>
          <w:tcPr>
            <w:tcW w:w="9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C9AC6" w14:textId="398AD72D" w:rsidR="00FD008B" w:rsidRPr="000B0431" w:rsidRDefault="00FD14C3" w:rsidP="00FD008B">
            <w:pPr>
              <w:pStyle w:val="TableRowCentered"/>
              <w:jc w:val="left"/>
              <w:rPr>
                <w:sz w:val="20"/>
              </w:rPr>
            </w:pPr>
            <w:r w:rsidRPr="000B0431">
              <w:rPr>
                <w:sz w:val="20"/>
              </w:rPr>
              <w:t>Percentage increase of disadvantaged pupils achieving ARE</w:t>
            </w:r>
            <w:r w:rsidR="00737544">
              <w:rPr>
                <w:sz w:val="20"/>
              </w:rPr>
              <w:t xml:space="preserve"> in writing.</w:t>
            </w:r>
          </w:p>
          <w:p w14:paraId="3DBBD9B1" w14:textId="221F1ECE" w:rsidR="00FD14C3" w:rsidRPr="000B0431" w:rsidRDefault="004F5A7E" w:rsidP="00FD008B">
            <w:pPr>
              <w:pStyle w:val="TableRowCentered"/>
              <w:jc w:val="left"/>
              <w:rPr>
                <w:sz w:val="20"/>
              </w:rPr>
            </w:pPr>
            <w:r w:rsidRPr="000B0431">
              <w:rPr>
                <w:sz w:val="20"/>
              </w:rPr>
              <w:t>PP and non-PP gap decreases.</w:t>
            </w:r>
          </w:p>
          <w:p w14:paraId="1EED7FE2" w14:textId="5CF52452" w:rsidR="008B663D" w:rsidRPr="000B0431" w:rsidRDefault="008B663D" w:rsidP="00FD008B">
            <w:pPr>
              <w:pStyle w:val="TableRowCentered"/>
              <w:jc w:val="left"/>
              <w:rPr>
                <w:sz w:val="20"/>
              </w:rPr>
            </w:pPr>
            <w:r w:rsidRPr="000B0431">
              <w:rPr>
                <w:sz w:val="20"/>
              </w:rPr>
              <w:t xml:space="preserve">Increased Percentages of </w:t>
            </w:r>
            <w:r w:rsidR="006663E1" w:rsidRPr="000B0431">
              <w:rPr>
                <w:sz w:val="20"/>
              </w:rPr>
              <w:t>PP pupils making accelerated progress in writing.</w:t>
            </w:r>
          </w:p>
          <w:p w14:paraId="2A7D5508" w14:textId="236540F8" w:rsidR="00E66558" w:rsidRPr="000B0431" w:rsidRDefault="006B536E" w:rsidP="006B536E">
            <w:pPr>
              <w:pStyle w:val="TableRowCentered"/>
              <w:jc w:val="left"/>
              <w:rPr>
                <w:sz w:val="20"/>
              </w:rPr>
            </w:pPr>
            <w:r w:rsidRPr="000B0431">
              <w:rPr>
                <w:sz w:val="20"/>
              </w:rPr>
              <w:t xml:space="preserve">Increased percentage of PP pupils achieving combined by end of KS2. </w:t>
            </w:r>
          </w:p>
        </w:tc>
      </w:tr>
      <w:tr w:rsidR="007968AE" w14:paraId="1F0598C4" w14:textId="77777777" w:rsidTr="003B440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B1925" w14:textId="1C148268" w:rsidR="007968AE" w:rsidRPr="000B0431" w:rsidRDefault="00A5793B">
            <w:pPr>
              <w:pStyle w:val="TableRow"/>
              <w:rPr>
                <w:sz w:val="20"/>
                <w:szCs w:val="20"/>
              </w:rPr>
            </w:pPr>
            <w:r w:rsidRPr="000B0431">
              <w:rPr>
                <w:sz w:val="20"/>
                <w:szCs w:val="20"/>
              </w:rPr>
              <w:t xml:space="preserve">Continue to </w:t>
            </w:r>
            <w:r w:rsidR="000B0431" w:rsidRPr="000B0431">
              <w:rPr>
                <w:sz w:val="20"/>
                <w:szCs w:val="20"/>
              </w:rPr>
              <w:t xml:space="preserve">improve reading attainment for disadvantaged pupils by the end of KS1 and KS2. </w:t>
            </w:r>
          </w:p>
        </w:tc>
        <w:tc>
          <w:tcPr>
            <w:tcW w:w="9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002C" w14:textId="20B510C1" w:rsidR="00FD008B" w:rsidRDefault="00BB6FFF" w:rsidP="00FD008B">
            <w:pPr>
              <w:pStyle w:val="TableRowCentered"/>
              <w:jc w:val="left"/>
              <w:rPr>
                <w:sz w:val="20"/>
              </w:rPr>
            </w:pPr>
            <w:r>
              <w:rPr>
                <w:sz w:val="20"/>
              </w:rPr>
              <w:t>Increased percentage of disadvantaged pupils achieving ARE</w:t>
            </w:r>
            <w:r w:rsidR="00737544">
              <w:rPr>
                <w:sz w:val="20"/>
              </w:rPr>
              <w:t xml:space="preserve"> in reading. </w:t>
            </w:r>
          </w:p>
          <w:p w14:paraId="76425292" w14:textId="77777777" w:rsidR="00A8023D" w:rsidRPr="000B0431" w:rsidRDefault="00A8023D" w:rsidP="00A8023D">
            <w:pPr>
              <w:pStyle w:val="TableRowCentered"/>
              <w:jc w:val="left"/>
              <w:rPr>
                <w:sz w:val="20"/>
              </w:rPr>
            </w:pPr>
            <w:r w:rsidRPr="000B0431">
              <w:rPr>
                <w:sz w:val="20"/>
              </w:rPr>
              <w:t>PP and non-PP gap decreases.</w:t>
            </w:r>
          </w:p>
          <w:p w14:paraId="3FB8F7BB" w14:textId="7AD33177" w:rsidR="00BB6FFF" w:rsidRDefault="00FF02A1" w:rsidP="00A8023D">
            <w:pPr>
              <w:pStyle w:val="TableRowCentered"/>
              <w:ind w:left="0"/>
              <w:jc w:val="left"/>
              <w:rPr>
                <w:sz w:val="20"/>
              </w:rPr>
            </w:pPr>
            <w:r>
              <w:rPr>
                <w:sz w:val="20"/>
              </w:rPr>
              <w:t>Well established Floppy’s Phonics programme improving early reading.</w:t>
            </w:r>
          </w:p>
          <w:p w14:paraId="131DA5F5" w14:textId="16DF8B6D" w:rsidR="00FF02A1" w:rsidRDefault="00FF02A1" w:rsidP="00FD008B">
            <w:pPr>
              <w:pStyle w:val="TableRowCentered"/>
              <w:jc w:val="left"/>
              <w:rPr>
                <w:sz w:val="20"/>
              </w:rPr>
            </w:pPr>
            <w:r>
              <w:rPr>
                <w:sz w:val="20"/>
              </w:rPr>
              <w:t>PP pupils pass</w:t>
            </w:r>
            <w:r w:rsidR="00C5414D">
              <w:rPr>
                <w:sz w:val="20"/>
              </w:rPr>
              <w:t xml:space="preserve"> phonics screening in line with non-PP and national average. </w:t>
            </w:r>
          </w:p>
          <w:p w14:paraId="7E2DB3CF" w14:textId="77777777" w:rsidR="00E042A6" w:rsidRDefault="00B00BF0" w:rsidP="002551E3">
            <w:pPr>
              <w:pStyle w:val="TableRowCentered"/>
              <w:jc w:val="left"/>
              <w:rPr>
                <w:sz w:val="20"/>
              </w:rPr>
            </w:pPr>
            <w:r>
              <w:rPr>
                <w:sz w:val="20"/>
              </w:rPr>
              <w:t xml:space="preserve">PP pupils improve their reading ages in line or if not better than non-pp pupils </w:t>
            </w:r>
            <w:r w:rsidR="002551E3">
              <w:rPr>
                <w:sz w:val="20"/>
              </w:rPr>
              <w:t xml:space="preserve">through standardised reading tests. </w:t>
            </w:r>
          </w:p>
          <w:p w14:paraId="34E06168" w14:textId="71B7C1D9" w:rsidR="002551E3" w:rsidRPr="000B0431" w:rsidRDefault="002551E3" w:rsidP="002551E3">
            <w:pPr>
              <w:pStyle w:val="TableRowCentered"/>
              <w:jc w:val="left"/>
              <w:rPr>
                <w:sz w:val="20"/>
              </w:rPr>
            </w:pPr>
            <w:r w:rsidRPr="000B0431">
              <w:rPr>
                <w:sz w:val="20"/>
              </w:rPr>
              <w:t>Increased percentage of PP pupils achieving combined by end of KS2.</w:t>
            </w:r>
          </w:p>
        </w:tc>
      </w:tr>
      <w:tr w:rsidR="00E66558" w14:paraId="2A7D550C" w14:textId="77777777" w:rsidTr="003B440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5C068F7" w:rsidR="00E66558" w:rsidRPr="008C6795" w:rsidRDefault="00DB513A">
            <w:pPr>
              <w:pStyle w:val="TableRow"/>
              <w:rPr>
                <w:sz w:val="20"/>
                <w:szCs w:val="20"/>
              </w:rPr>
            </w:pPr>
            <w:r w:rsidRPr="008C6795">
              <w:rPr>
                <w:sz w:val="20"/>
                <w:szCs w:val="20"/>
              </w:rPr>
              <w:t xml:space="preserve">Continue to improve </w:t>
            </w:r>
            <w:r w:rsidR="00C3174D" w:rsidRPr="008C6795">
              <w:rPr>
                <w:sz w:val="20"/>
                <w:szCs w:val="20"/>
              </w:rPr>
              <w:t xml:space="preserve">progress for disadvantaged pupils in maths. </w:t>
            </w:r>
          </w:p>
        </w:tc>
        <w:tc>
          <w:tcPr>
            <w:tcW w:w="9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1F6B0" w14:textId="79A7A844" w:rsidR="00FD008B" w:rsidRPr="003445F0" w:rsidRDefault="00C3174D" w:rsidP="00FD008B">
            <w:pPr>
              <w:pStyle w:val="TableRowCentered"/>
              <w:jc w:val="left"/>
              <w:rPr>
                <w:sz w:val="20"/>
              </w:rPr>
            </w:pPr>
            <w:r w:rsidRPr="003445F0">
              <w:rPr>
                <w:sz w:val="20"/>
              </w:rPr>
              <w:t xml:space="preserve">Increased percentage of PP pupils </w:t>
            </w:r>
            <w:r w:rsidR="00737544" w:rsidRPr="003445F0">
              <w:rPr>
                <w:sz w:val="20"/>
              </w:rPr>
              <w:t>achieving ARE in maths.</w:t>
            </w:r>
          </w:p>
          <w:p w14:paraId="0695178C" w14:textId="45D3813B" w:rsidR="00A8023D" w:rsidRPr="003445F0" w:rsidRDefault="00A8023D" w:rsidP="00A8023D">
            <w:pPr>
              <w:pStyle w:val="TableRowCentered"/>
              <w:jc w:val="left"/>
              <w:rPr>
                <w:sz w:val="20"/>
              </w:rPr>
            </w:pPr>
            <w:r w:rsidRPr="003445F0">
              <w:rPr>
                <w:sz w:val="20"/>
              </w:rPr>
              <w:t>PP and non-PP gap decreases.</w:t>
            </w:r>
          </w:p>
          <w:p w14:paraId="31E88682" w14:textId="431DBE9E" w:rsidR="00FA5090" w:rsidRPr="003445F0" w:rsidRDefault="00FA5090" w:rsidP="00FA5090">
            <w:pPr>
              <w:pStyle w:val="TableRowCentered"/>
              <w:jc w:val="left"/>
              <w:rPr>
                <w:sz w:val="20"/>
              </w:rPr>
            </w:pPr>
            <w:r w:rsidRPr="003445F0">
              <w:rPr>
                <w:sz w:val="20"/>
              </w:rPr>
              <w:t xml:space="preserve">Increased percentage of PP pupils achieving well in multiplication tables test at the end of year 4. </w:t>
            </w:r>
          </w:p>
          <w:p w14:paraId="67269960" w14:textId="07BA5359" w:rsidR="00FA5090" w:rsidRPr="003445F0" w:rsidRDefault="00521052" w:rsidP="00FA5090">
            <w:pPr>
              <w:pStyle w:val="TableRowCentered"/>
              <w:jc w:val="left"/>
              <w:rPr>
                <w:sz w:val="20"/>
              </w:rPr>
            </w:pPr>
            <w:r w:rsidRPr="003445F0">
              <w:rPr>
                <w:sz w:val="20"/>
              </w:rPr>
              <w:t xml:space="preserve">Embedding mastery approach </w:t>
            </w:r>
            <w:r w:rsidR="008B1F18" w:rsidRPr="003445F0">
              <w:rPr>
                <w:sz w:val="20"/>
              </w:rPr>
              <w:t>evident in lessons.</w:t>
            </w:r>
          </w:p>
          <w:p w14:paraId="2A7D550B" w14:textId="14BC1BE7" w:rsidR="00D568DC" w:rsidRPr="00D568DC" w:rsidRDefault="008B1F18" w:rsidP="008B1F18">
            <w:pPr>
              <w:pStyle w:val="TableRowCentered"/>
              <w:ind w:left="0"/>
              <w:jc w:val="left"/>
            </w:pPr>
            <w:r w:rsidRPr="003445F0">
              <w:rPr>
                <w:sz w:val="20"/>
              </w:rPr>
              <w:t>Increased percentage of PP pupils achieving combined by end of KS2.</w:t>
            </w:r>
          </w:p>
        </w:tc>
      </w:tr>
      <w:tr w:rsidR="00FF21D7" w14:paraId="02D2423C" w14:textId="77777777" w:rsidTr="003B440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5E15F" w14:textId="08609C52" w:rsidR="00FF21D7" w:rsidRPr="008C6795" w:rsidRDefault="003445F0">
            <w:pPr>
              <w:pStyle w:val="TableRow"/>
              <w:rPr>
                <w:sz w:val="20"/>
                <w:szCs w:val="20"/>
              </w:rPr>
            </w:pPr>
            <w:r w:rsidRPr="008C6795">
              <w:rPr>
                <w:sz w:val="20"/>
                <w:szCs w:val="20"/>
              </w:rPr>
              <w:lastRenderedPageBreak/>
              <w:t xml:space="preserve">Improve attendance and decrease persistent absence for disadvantaged pupils. </w:t>
            </w:r>
          </w:p>
        </w:tc>
        <w:tc>
          <w:tcPr>
            <w:tcW w:w="9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D195" w14:textId="77777777" w:rsidR="00FF21D7" w:rsidRPr="008C6795" w:rsidRDefault="00964319" w:rsidP="00FD008B">
            <w:pPr>
              <w:pStyle w:val="TableRowCentered"/>
              <w:jc w:val="left"/>
              <w:rPr>
                <w:sz w:val="20"/>
              </w:rPr>
            </w:pPr>
            <w:r w:rsidRPr="008C6795">
              <w:rPr>
                <w:sz w:val="20"/>
              </w:rPr>
              <w:t>Gap between PP and non-pp reduces.</w:t>
            </w:r>
          </w:p>
          <w:p w14:paraId="4D5AA408" w14:textId="77777777" w:rsidR="00964319" w:rsidRPr="008C6795" w:rsidRDefault="00964319" w:rsidP="00FD008B">
            <w:pPr>
              <w:pStyle w:val="TableRowCentered"/>
              <w:jc w:val="left"/>
              <w:rPr>
                <w:sz w:val="20"/>
              </w:rPr>
            </w:pPr>
            <w:r w:rsidRPr="008C6795">
              <w:rPr>
                <w:sz w:val="20"/>
              </w:rPr>
              <w:t xml:space="preserve">Percentage of persistent absence of PP pupils </w:t>
            </w:r>
            <w:r w:rsidR="00F11FF9" w:rsidRPr="008C6795">
              <w:rPr>
                <w:sz w:val="20"/>
              </w:rPr>
              <w:t>reduces.</w:t>
            </w:r>
          </w:p>
          <w:p w14:paraId="740CC4D6" w14:textId="77777777" w:rsidR="00F11FF9" w:rsidRPr="008C6795" w:rsidRDefault="00F11FF9" w:rsidP="00FD008B">
            <w:pPr>
              <w:pStyle w:val="TableRowCentered"/>
              <w:jc w:val="left"/>
              <w:rPr>
                <w:sz w:val="20"/>
              </w:rPr>
            </w:pPr>
            <w:r w:rsidRPr="008C6795">
              <w:rPr>
                <w:sz w:val="20"/>
              </w:rPr>
              <w:t>Overall school attendance increases.</w:t>
            </w:r>
          </w:p>
          <w:p w14:paraId="69D3F105" w14:textId="7E1AC4D9" w:rsidR="00F11FF9" w:rsidRDefault="00F11FF9" w:rsidP="00FD008B">
            <w:pPr>
              <w:pStyle w:val="TableRowCentered"/>
              <w:jc w:val="left"/>
            </w:pPr>
            <w:r w:rsidRPr="008C6795">
              <w:rPr>
                <w:sz w:val="20"/>
              </w:rPr>
              <w:t>Overall school attendance is above national average.</w:t>
            </w:r>
            <w:r>
              <w:t xml:space="preserve"> </w:t>
            </w:r>
          </w:p>
        </w:tc>
      </w:tr>
      <w:tr w:rsidR="00F11FF9" w14:paraId="2461C33E" w14:textId="77777777" w:rsidTr="003B440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BB9C" w14:textId="53D478B4" w:rsidR="00F11FF9" w:rsidRPr="00B16D8F" w:rsidRDefault="00C65661">
            <w:pPr>
              <w:pStyle w:val="TableRow"/>
              <w:rPr>
                <w:sz w:val="20"/>
                <w:szCs w:val="20"/>
              </w:rPr>
            </w:pPr>
            <w:r w:rsidRPr="00B16D8F">
              <w:rPr>
                <w:sz w:val="20"/>
                <w:szCs w:val="20"/>
              </w:rPr>
              <w:t xml:space="preserve">Provision for pupils to access support for social, emotional and behavioural needs increases. </w:t>
            </w:r>
          </w:p>
        </w:tc>
        <w:tc>
          <w:tcPr>
            <w:tcW w:w="9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30228" w14:textId="77777777" w:rsidR="00F11FF9" w:rsidRPr="00B16D8F" w:rsidRDefault="00623465" w:rsidP="00FD008B">
            <w:pPr>
              <w:pStyle w:val="TableRowCentered"/>
              <w:jc w:val="left"/>
              <w:rPr>
                <w:sz w:val="20"/>
              </w:rPr>
            </w:pPr>
            <w:r w:rsidRPr="00B16D8F">
              <w:rPr>
                <w:sz w:val="20"/>
              </w:rPr>
              <w:t>PP pupils speaking confidently</w:t>
            </w:r>
            <w:r w:rsidR="00942A01" w:rsidRPr="00B16D8F">
              <w:rPr>
                <w:sz w:val="20"/>
              </w:rPr>
              <w:t xml:space="preserve"> and positively</w:t>
            </w:r>
            <w:r w:rsidRPr="00B16D8F">
              <w:rPr>
                <w:sz w:val="20"/>
              </w:rPr>
              <w:t xml:space="preserve"> </w:t>
            </w:r>
            <w:r w:rsidR="00942A01" w:rsidRPr="00B16D8F">
              <w:rPr>
                <w:sz w:val="20"/>
              </w:rPr>
              <w:t>about their mental health and well-being.</w:t>
            </w:r>
          </w:p>
          <w:p w14:paraId="7A57A68E" w14:textId="77777777" w:rsidR="00942A01" w:rsidRPr="00B16D8F" w:rsidRDefault="0049615A" w:rsidP="00FD008B">
            <w:pPr>
              <w:pStyle w:val="TableRowCentered"/>
              <w:jc w:val="left"/>
              <w:rPr>
                <w:sz w:val="20"/>
              </w:rPr>
            </w:pPr>
            <w:r w:rsidRPr="00B16D8F">
              <w:rPr>
                <w:sz w:val="20"/>
              </w:rPr>
              <w:t xml:space="preserve">Pupil voice and parent / carers questionnaires show pupils feeling safe in their school </w:t>
            </w:r>
            <w:r w:rsidR="00FD5783" w:rsidRPr="00B16D8F">
              <w:rPr>
                <w:sz w:val="20"/>
              </w:rPr>
              <w:t xml:space="preserve">environment. </w:t>
            </w:r>
          </w:p>
          <w:p w14:paraId="1F26F9C1" w14:textId="77777777" w:rsidR="00FD5783" w:rsidRPr="00B16D8F" w:rsidRDefault="00FD5783" w:rsidP="00FD5783">
            <w:pPr>
              <w:pStyle w:val="TableRowCentered"/>
              <w:jc w:val="left"/>
              <w:rPr>
                <w:sz w:val="20"/>
              </w:rPr>
            </w:pPr>
            <w:r w:rsidRPr="00B16D8F">
              <w:rPr>
                <w:sz w:val="20"/>
              </w:rPr>
              <w:t>Parents are effectively supported through Early Help plans.</w:t>
            </w:r>
          </w:p>
          <w:p w14:paraId="1D0D5AD1" w14:textId="76EB3EA5" w:rsidR="00B16D8F" w:rsidRDefault="00B16D8F" w:rsidP="00B16D8F">
            <w:pPr>
              <w:pStyle w:val="TableRowCentered"/>
              <w:jc w:val="left"/>
            </w:pPr>
            <w:r w:rsidRPr="00B16D8F">
              <w:rPr>
                <w:sz w:val="20"/>
              </w:rPr>
              <w:t>Decrease number of behavioural incidents involving PP pupils.</w:t>
            </w:r>
            <w:r>
              <w:t xml:space="preserve"> </w:t>
            </w:r>
          </w:p>
        </w:tc>
      </w:tr>
      <w:tr w:rsidR="00B16D8F" w14:paraId="3A21967B" w14:textId="77777777" w:rsidTr="003B440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654AF" w14:textId="0EA9098E" w:rsidR="00B16D8F" w:rsidRPr="00B16D8F" w:rsidRDefault="00427E38">
            <w:pPr>
              <w:pStyle w:val="TableRow"/>
              <w:rPr>
                <w:sz w:val="20"/>
                <w:szCs w:val="20"/>
              </w:rPr>
            </w:pPr>
            <w:r>
              <w:rPr>
                <w:sz w:val="20"/>
                <w:szCs w:val="20"/>
              </w:rPr>
              <w:t xml:space="preserve">Pupils (especially disadvantaged pupils have wider opportunities to broaden their cultural capital through </w:t>
            </w:r>
            <w:r w:rsidR="006E7193">
              <w:rPr>
                <w:sz w:val="20"/>
                <w:szCs w:val="20"/>
              </w:rPr>
              <w:t xml:space="preserve">curriculum experiences. </w:t>
            </w:r>
          </w:p>
        </w:tc>
        <w:tc>
          <w:tcPr>
            <w:tcW w:w="9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F44EC" w14:textId="77777777" w:rsidR="00B16D8F" w:rsidRDefault="008C74EF" w:rsidP="00FD008B">
            <w:pPr>
              <w:pStyle w:val="TableRowCentered"/>
              <w:jc w:val="left"/>
              <w:rPr>
                <w:sz w:val="20"/>
              </w:rPr>
            </w:pPr>
            <w:r>
              <w:rPr>
                <w:sz w:val="20"/>
              </w:rPr>
              <w:t>Extra-curricular</w:t>
            </w:r>
            <w:r w:rsidR="006E7193">
              <w:rPr>
                <w:sz w:val="20"/>
              </w:rPr>
              <w:t xml:space="preserve"> </w:t>
            </w:r>
            <w:r>
              <w:rPr>
                <w:sz w:val="20"/>
              </w:rPr>
              <w:t>clubs are well attended by PP pupils.</w:t>
            </w:r>
          </w:p>
          <w:p w14:paraId="7C734D61" w14:textId="253378CF" w:rsidR="008C74EF" w:rsidRDefault="008C74EF" w:rsidP="00FD008B">
            <w:pPr>
              <w:pStyle w:val="TableRowCentered"/>
              <w:jc w:val="left"/>
              <w:rPr>
                <w:sz w:val="20"/>
              </w:rPr>
            </w:pPr>
            <w:r>
              <w:rPr>
                <w:sz w:val="20"/>
              </w:rPr>
              <w:t xml:space="preserve">Parental engagement increases to events, </w:t>
            </w:r>
            <w:r w:rsidR="00EB2A6B">
              <w:rPr>
                <w:sz w:val="20"/>
              </w:rPr>
              <w:t>meetings,</w:t>
            </w:r>
            <w:r>
              <w:rPr>
                <w:sz w:val="20"/>
              </w:rPr>
              <w:t xml:space="preserve"> and workshops throughout the year.</w:t>
            </w:r>
          </w:p>
          <w:p w14:paraId="0A688BF6" w14:textId="42AE6847" w:rsidR="008C74EF" w:rsidRDefault="00EB2A6B" w:rsidP="00FD008B">
            <w:pPr>
              <w:pStyle w:val="TableRowCentered"/>
              <w:jc w:val="left"/>
              <w:rPr>
                <w:sz w:val="20"/>
              </w:rPr>
            </w:pPr>
            <w:r>
              <w:rPr>
                <w:sz w:val="20"/>
              </w:rPr>
              <w:t xml:space="preserve">Curriculum planning shows a clear plan for pupil engagement. </w:t>
            </w:r>
          </w:p>
          <w:p w14:paraId="5D4BA5B9" w14:textId="6A3FBC0C" w:rsidR="00EB2A6B" w:rsidRPr="00B16D8F" w:rsidRDefault="003D1040" w:rsidP="00710775">
            <w:pPr>
              <w:pStyle w:val="TableRowCentered"/>
              <w:jc w:val="left"/>
              <w:rPr>
                <w:sz w:val="20"/>
              </w:rPr>
            </w:pPr>
            <w:r>
              <w:rPr>
                <w:sz w:val="20"/>
              </w:rPr>
              <w:t xml:space="preserve">Educational visits or in school experiences are carefully planned </w:t>
            </w:r>
            <w:r w:rsidR="00710775">
              <w:rPr>
                <w:sz w:val="20"/>
              </w:rPr>
              <w:t xml:space="preserve">in all year groups. </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F97729B" w:rsidR="00E66558" w:rsidRDefault="00270D75">
      <w:r>
        <w:t xml:space="preserve">Budgeted cost: </w:t>
      </w:r>
      <w:r w:rsidR="00081F34">
        <w:t>£</w:t>
      </w:r>
      <w:r w:rsidR="00570C34">
        <w:t>3</w:t>
      </w:r>
      <w:r w:rsidR="00E45863">
        <w:t>0</w:t>
      </w:r>
      <w:r w:rsidR="00081F34">
        <w:t>,000</w:t>
      </w:r>
    </w:p>
    <w:tbl>
      <w:tblPr>
        <w:tblW w:w="5000" w:type="pct"/>
        <w:tblCellMar>
          <w:left w:w="10" w:type="dxa"/>
          <w:right w:w="10" w:type="dxa"/>
        </w:tblCellMar>
        <w:tblLook w:val="04A0" w:firstRow="1" w:lastRow="0" w:firstColumn="1" w:lastColumn="0" w:noHBand="0" w:noVBand="1"/>
      </w:tblPr>
      <w:tblGrid>
        <w:gridCol w:w="4732"/>
        <w:gridCol w:w="8297"/>
        <w:gridCol w:w="1531"/>
      </w:tblGrid>
      <w:tr w:rsidR="009E6CF1" w14:paraId="2A7D5519" w14:textId="77777777" w:rsidTr="001318A3">
        <w:tc>
          <w:tcPr>
            <w:tcW w:w="47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82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6276FE" w14:paraId="375034C4" w14:textId="77777777" w:rsidTr="001318A3">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73A06" w14:textId="111090C8" w:rsidR="008971BF" w:rsidRPr="00710775" w:rsidRDefault="00001753" w:rsidP="0090104F">
            <w:pPr>
              <w:pStyle w:val="TableRow"/>
              <w:rPr>
                <w:iCs/>
                <w:sz w:val="20"/>
                <w:szCs w:val="20"/>
              </w:rPr>
            </w:pPr>
            <w:r w:rsidRPr="00710775">
              <w:rPr>
                <w:iCs/>
                <w:sz w:val="20"/>
                <w:szCs w:val="20"/>
              </w:rPr>
              <w:t xml:space="preserve">Leaders and teachers participating in Maths Mastery programme </w:t>
            </w:r>
          </w:p>
          <w:p w14:paraId="760A9417" w14:textId="3D426FE3" w:rsidR="00230BCA" w:rsidRDefault="00230BCA" w:rsidP="00CD6B45">
            <w:pPr>
              <w:pStyle w:val="TableRow"/>
              <w:numPr>
                <w:ilvl w:val="0"/>
                <w:numId w:val="22"/>
              </w:numPr>
              <w:rPr>
                <w:iCs/>
                <w:sz w:val="20"/>
                <w:szCs w:val="20"/>
              </w:rPr>
            </w:pPr>
            <w:r>
              <w:rPr>
                <w:iCs/>
                <w:sz w:val="20"/>
                <w:szCs w:val="20"/>
              </w:rPr>
              <w:t xml:space="preserve">Teachers across school are </w:t>
            </w:r>
            <w:r w:rsidR="001701E3">
              <w:rPr>
                <w:iCs/>
                <w:sz w:val="20"/>
                <w:szCs w:val="20"/>
              </w:rPr>
              <w:t xml:space="preserve">embedding / sustaining </w:t>
            </w:r>
            <w:r>
              <w:rPr>
                <w:iCs/>
                <w:sz w:val="20"/>
                <w:szCs w:val="20"/>
              </w:rPr>
              <w:t xml:space="preserve">Maths mastery. </w:t>
            </w:r>
          </w:p>
          <w:p w14:paraId="63924B15" w14:textId="4C0A5056" w:rsidR="00230BCA" w:rsidRDefault="00230BCA" w:rsidP="00CD6B45">
            <w:pPr>
              <w:pStyle w:val="TableRow"/>
              <w:numPr>
                <w:ilvl w:val="0"/>
                <w:numId w:val="22"/>
              </w:numPr>
              <w:rPr>
                <w:iCs/>
                <w:sz w:val="20"/>
                <w:szCs w:val="20"/>
              </w:rPr>
            </w:pPr>
            <w:r>
              <w:rPr>
                <w:iCs/>
                <w:sz w:val="20"/>
                <w:szCs w:val="20"/>
              </w:rPr>
              <w:t>Class 3 and 6 new to mastery</w:t>
            </w:r>
            <w:r w:rsidR="006E5DA3">
              <w:rPr>
                <w:iCs/>
                <w:sz w:val="20"/>
                <w:szCs w:val="20"/>
              </w:rPr>
              <w:t xml:space="preserve"> - embedding</w:t>
            </w:r>
          </w:p>
          <w:p w14:paraId="3663CF82" w14:textId="73E45BE6" w:rsidR="008971BF" w:rsidRDefault="003A1B27" w:rsidP="00CD6B45">
            <w:pPr>
              <w:pStyle w:val="TableRow"/>
              <w:numPr>
                <w:ilvl w:val="0"/>
                <w:numId w:val="22"/>
              </w:numPr>
              <w:rPr>
                <w:iCs/>
                <w:sz w:val="20"/>
                <w:szCs w:val="20"/>
              </w:rPr>
            </w:pPr>
            <w:r w:rsidRPr="00710775">
              <w:rPr>
                <w:iCs/>
                <w:sz w:val="20"/>
                <w:szCs w:val="20"/>
              </w:rPr>
              <w:t>Manipulatives</w:t>
            </w:r>
            <w:r w:rsidR="008971BF" w:rsidRPr="00710775">
              <w:rPr>
                <w:iCs/>
                <w:sz w:val="20"/>
                <w:szCs w:val="20"/>
              </w:rPr>
              <w:t xml:space="preserve"> </w:t>
            </w:r>
            <w:r w:rsidR="009E639F">
              <w:rPr>
                <w:iCs/>
                <w:sz w:val="20"/>
                <w:szCs w:val="20"/>
              </w:rPr>
              <w:t xml:space="preserve">resources </w:t>
            </w:r>
            <w:r w:rsidR="008971BF" w:rsidRPr="00710775">
              <w:rPr>
                <w:iCs/>
                <w:sz w:val="20"/>
                <w:szCs w:val="20"/>
              </w:rPr>
              <w:t>purchased</w:t>
            </w:r>
            <w:r w:rsidR="00230BCA">
              <w:rPr>
                <w:iCs/>
                <w:sz w:val="20"/>
                <w:szCs w:val="20"/>
              </w:rPr>
              <w:t xml:space="preserve"> for classes that have joined </w:t>
            </w:r>
            <w:r w:rsidR="00DA703F">
              <w:rPr>
                <w:iCs/>
                <w:sz w:val="20"/>
                <w:szCs w:val="20"/>
              </w:rPr>
              <w:t xml:space="preserve">maths mastery programme. </w:t>
            </w:r>
          </w:p>
          <w:p w14:paraId="4107E283" w14:textId="0F7725B1" w:rsidR="00615B50" w:rsidRPr="00710775" w:rsidRDefault="00F1563E" w:rsidP="00CD6B45">
            <w:pPr>
              <w:pStyle w:val="TableRow"/>
              <w:numPr>
                <w:ilvl w:val="0"/>
                <w:numId w:val="22"/>
              </w:numPr>
              <w:rPr>
                <w:iCs/>
                <w:sz w:val="20"/>
                <w:szCs w:val="20"/>
              </w:rPr>
            </w:pPr>
            <w:r>
              <w:rPr>
                <w:iCs/>
                <w:sz w:val="20"/>
                <w:szCs w:val="20"/>
              </w:rPr>
              <w:t>Daily mastery in number sessions being delivered in r</w:t>
            </w:r>
            <w:r w:rsidR="00615B50">
              <w:rPr>
                <w:iCs/>
                <w:sz w:val="20"/>
                <w:szCs w:val="20"/>
              </w:rPr>
              <w:t>eception, class 1, class 2</w:t>
            </w:r>
            <w:r w:rsidR="00054ABE">
              <w:rPr>
                <w:iCs/>
                <w:sz w:val="20"/>
                <w:szCs w:val="20"/>
              </w:rPr>
              <w:t xml:space="preserve"> beginning mastery in number. </w:t>
            </w:r>
          </w:p>
          <w:p w14:paraId="59E9D0DA" w14:textId="73E51501" w:rsidR="00EB7F51" w:rsidRPr="00710775" w:rsidRDefault="00EB7F51" w:rsidP="004F4C6F">
            <w:pPr>
              <w:pStyle w:val="TableRow"/>
              <w:ind w:left="0"/>
              <w:rPr>
                <w:iCs/>
                <w:sz w:val="20"/>
                <w:szCs w:val="20"/>
              </w:rPr>
            </w:pPr>
          </w:p>
        </w:tc>
        <w:tc>
          <w:tcPr>
            <w:tcW w:w="8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C8C0" w14:textId="77777777" w:rsidR="00F9610A" w:rsidRPr="00710775" w:rsidRDefault="006131CB" w:rsidP="00F9610A">
            <w:pPr>
              <w:pStyle w:val="TableRowCentered"/>
              <w:ind w:left="0"/>
              <w:jc w:val="left"/>
              <w:rPr>
                <w:sz w:val="20"/>
              </w:rPr>
            </w:pPr>
            <w:hyperlink r:id="rId7" w:history="1">
              <w:r w:rsidRPr="00710775">
                <w:rPr>
                  <w:rStyle w:val="Hyperlink"/>
                  <w:sz w:val="20"/>
                </w:rPr>
                <w:t>https://educationendowmentfoundation.org.uk/education-evidence/guidance-reports/early-maths</w:t>
              </w:r>
            </w:hyperlink>
            <w:r w:rsidR="007A2485" w:rsidRPr="00710775">
              <w:rPr>
                <w:sz w:val="20"/>
              </w:rPr>
              <w:t xml:space="preserve"> </w:t>
            </w:r>
          </w:p>
          <w:p w14:paraId="0F37CB41" w14:textId="110331A0" w:rsidR="00016887" w:rsidRPr="00710775" w:rsidRDefault="00FA637D" w:rsidP="00F9610A">
            <w:pPr>
              <w:pStyle w:val="TableRowCentered"/>
              <w:ind w:left="0"/>
              <w:jc w:val="left"/>
              <w:rPr>
                <w:sz w:val="20"/>
              </w:rPr>
            </w:pPr>
            <w:r>
              <w:rPr>
                <w:sz w:val="20"/>
              </w:rPr>
              <w:t>I</w:t>
            </w:r>
            <w:r w:rsidR="00016887" w:rsidRPr="00710775">
              <w:rPr>
                <w:sz w:val="20"/>
              </w:rPr>
              <w:t xml:space="preserve">dentifies key recommendations that include developing practitioners’ understanding, integrating mathematics through the day and using manipulatives and representations </w:t>
            </w:r>
            <w:r w:rsidR="00016887" w:rsidRPr="00710775">
              <w:rPr>
                <w:sz w:val="20"/>
                <w:u w:val="single"/>
              </w:rPr>
              <w:t>and seizing opportunities to reinforce mathematical vocabulary</w:t>
            </w:r>
            <w:r w:rsidR="00016887" w:rsidRPr="00710775">
              <w:rPr>
                <w:sz w:val="20"/>
              </w:rPr>
              <w:t>.</w:t>
            </w:r>
          </w:p>
          <w:p w14:paraId="6311ACD7" w14:textId="77777777" w:rsidR="00876EEF" w:rsidRPr="00710775" w:rsidRDefault="00876EEF" w:rsidP="00F9610A">
            <w:pPr>
              <w:pStyle w:val="TableRowCentered"/>
              <w:ind w:left="0"/>
              <w:jc w:val="left"/>
              <w:rPr>
                <w:sz w:val="20"/>
              </w:rPr>
            </w:pPr>
          </w:p>
          <w:p w14:paraId="35018EB2" w14:textId="35F047F0" w:rsidR="00DE5BD4" w:rsidRPr="00710775" w:rsidRDefault="00DE5BD4" w:rsidP="00F9610A">
            <w:pPr>
              <w:pStyle w:val="TableRowCentered"/>
              <w:ind w:left="0"/>
              <w:jc w:val="left"/>
              <w:rPr>
                <w:sz w:val="20"/>
              </w:rPr>
            </w:pPr>
            <w:r w:rsidRPr="00710775">
              <w:rPr>
                <w:sz w:val="20"/>
              </w:rPr>
              <w:t>NCETM (National Centre for Excellence in the Teaching of Mathematics)</w:t>
            </w:r>
            <w:r w:rsidR="009B70DA" w:rsidRPr="00710775">
              <w:rPr>
                <w:sz w:val="20"/>
              </w:rPr>
              <w:t xml:space="preserve">: </w:t>
            </w:r>
            <w:hyperlink r:id="rId8" w:history="1">
              <w:r w:rsidR="009B70DA" w:rsidRPr="00710775">
                <w:rPr>
                  <w:rStyle w:val="Hyperlink"/>
                  <w:sz w:val="20"/>
                </w:rPr>
                <w:t>https://www.ncetm.org.uk/maths-hubs-projects/primary-teaching-for-mastery-development/</w:t>
              </w:r>
            </w:hyperlink>
            <w:r w:rsidR="009B70DA" w:rsidRPr="00710775">
              <w:rPr>
                <w:sz w:val="20"/>
              </w:rPr>
              <w:t xml:space="preserve"> </w:t>
            </w:r>
          </w:p>
          <w:p w14:paraId="0BBEFA6D" w14:textId="77777777" w:rsidR="00DE5BD4" w:rsidRPr="00710775" w:rsidRDefault="00DE5BD4" w:rsidP="00F9610A">
            <w:pPr>
              <w:pStyle w:val="TableRowCentered"/>
              <w:ind w:left="0"/>
              <w:jc w:val="left"/>
              <w:rPr>
                <w:sz w:val="20"/>
              </w:rPr>
            </w:pPr>
          </w:p>
          <w:p w14:paraId="049275C1" w14:textId="3FDDFCAF" w:rsidR="00DE5BD4" w:rsidRPr="00710775" w:rsidRDefault="00510BC4" w:rsidP="00F9610A">
            <w:pPr>
              <w:pStyle w:val="TableRowCentered"/>
              <w:ind w:left="0"/>
              <w:jc w:val="left"/>
              <w:rPr>
                <w:sz w:val="20"/>
              </w:rPr>
            </w:pPr>
            <w:r w:rsidRPr="00710775">
              <w:rPr>
                <w:sz w:val="20"/>
              </w:rPr>
              <w:t xml:space="preserve">EEF identified that </w:t>
            </w:r>
            <w:r w:rsidR="00783FA9" w:rsidRPr="00710775">
              <w:rPr>
                <w:sz w:val="20"/>
              </w:rPr>
              <w:t>the impact of a</w:t>
            </w:r>
            <w:r w:rsidRPr="00710775">
              <w:rPr>
                <w:sz w:val="20"/>
              </w:rPr>
              <w:t xml:space="preserve"> maths mastery approach</w:t>
            </w:r>
            <w:r w:rsidR="00783FA9" w:rsidRPr="00710775">
              <w:rPr>
                <w:sz w:val="20"/>
              </w:rPr>
              <w:t xml:space="preserve"> was +2 months</w:t>
            </w:r>
          </w:p>
          <w:p w14:paraId="79FE2FEE" w14:textId="3F6B9503" w:rsidR="00876EEF" w:rsidRPr="00710775" w:rsidRDefault="00876EEF" w:rsidP="00F9610A">
            <w:pPr>
              <w:pStyle w:val="TableRowCentered"/>
              <w:ind w:left="0"/>
              <w:jc w:val="left"/>
              <w:rPr>
                <w:sz w:val="20"/>
              </w:rPr>
            </w:pPr>
            <w:hyperlink r:id="rId9" w:history="1">
              <w:r w:rsidRPr="00710775">
                <w:rPr>
                  <w:rStyle w:val="Hyperlink"/>
                  <w:sz w:val="20"/>
                </w:rPr>
                <w:t>https://educationendowmentfoundation.org.uk/projects-and-evaluation/projects/mathematics-mastery-primary?utm_source=/projects-and-evaluation/projects/mathematics-mastery-primary&amp;utm_medium=search&amp;utm_campaign=site_search&amp;search_term=mastery</w:t>
              </w:r>
            </w:hyperlink>
            <w:r w:rsidRPr="00710775">
              <w:rPr>
                <w:sz w:val="20"/>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BD84" w14:textId="534C7A1E" w:rsidR="00C12275" w:rsidRDefault="008971BF">
            <w:pPr>
              <w:pStyle w:val="TableRowCentered"/>
              <w:jc w:val="left"/>
              <w:rPr>
                <w:sz w:val="22"/>
              </w:rPr>
            </w:pPr>
            <w:r>
              <w:rPr>
                <w:sz w:val="22"/>
              </w:rPr>
              <w:t>1</w:t>
            </w:r>
            <w:r w:rsidR="008F1D85">
              <w:rPr>
                <w:sz w:val="22"/>
              </w:rPr>
              <w:t>,2</w:t>
            </w:r>
          </w:p>
        </w:tc>
      </w:tr>
      <w:tr w:rsidR="001520CB" w14:paraId="2A91AF85" w14:textId="77777777" w:rsidTr="001318A3">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9ED48" w14:textId="77777777" w:rsidR="001520CB" w:rsidRDefault="001520CB" w:rsidP="0090104F">
            <w:pPr>
              <w:pStyle w:val="TableRow"/>
              <w:rPr>
                <w:iCs/>
                <w:sz w:val="20"/>
                <w:szCs w:val="20"/>
              </w:rPr>
            </w:pPr>
            <w:r>
              <w:rPr>
                <w:iCs/>
                <w:sz w:val="20"/>
                <w:szCs w:val="20"/>
              </w:rPr>
              <w:t>Reading focus</w:t>
            </w:r>
          </w:p>
          <w:p w14:paraId="6B81D4D2" w14:textId="77777777" w:rsidR="001520CB" w:rsidRDefault="009B5DB9" w:rsidP="009B5DB9">
            <w:pPr>
              <w:pStyle w:val="TableRow"/>
              <w:numPr>
                <w:ilvl w:val="0"/>
                <w:numId w:val="27"/>
              </w:numPr>
              <w:rPr>
                <w:iCs/>
                <w:sz w:val="20"/>
                <w:szCs w:val="20"/>
              </w:rPr>
            </w:pPr>
            <w:r>
              <w:rPr>
                <w:iCs/>
                <w:sz w:val="20"/>
                <w:szCs w:val="20"/>
              </w:rPr>
              <w:t xml:space="preserve">KS2 teachers receiving CPD </w:t>
            </w:r>
            <w:r w:rsidR="004F42B3">
              <w:rPr>
                <w:iCs/>
                <w:sz w:val="20"/>
                <w:szCs w:val="20"/>
              </w:rPr>
              <w:t xml:space="preserve">in planning and delivery FREDS reading programme. </w:t>
            </w:r>
          </w:p>
          <w:p w14:paraId="19FA154F" w14:textId="77777777" w:rsidR="004F42B3" w:rsidRDefault="006079E2" w:rsidP="009B5DB9">
            <w:pPr>
              <w:pStyle w:val="TableRow"/>
              <w:numPr>
                <w:ilvl w:val="0"/>
                <w:numId w:val="27"/>
              </w:numPr>
              <w:rPr>
                <w:iCs/>
                <w:sz w:val="20"/>
                <w:szCs w:val="20"/>
              </w:rPr>
            </w:pPr>
            <w:r>
              <w:rPr>
                <w:iCs/>
                <w:sz w:val="20"/>
                <w:szCs w:val="20"/>
              </w:rPr>
              <w:t xml:space="preserve">Regular CPD provided to look at the FRED impact. </w:t>
            </w:r>
          </w:p>
          <w:p w14:paraId="711E8A82" w14:textId="3B8E9CBF" w:rsidR="007C78D8" w:rsidRPr="00710775" w:rsidRDefault="007C78D8" w:rsidP="009B5DB9">
            <w:pPr>
              <w:pStyle w:val="TableRow"/>
              <w:numPr>
                <w:ilvl w:val="0"/>
                <w:numId w:val="27"/>
              </w:numPr>
              <w:rPr>
                <w:iCs/>
                <w:sz w:val="20"/>
                <w:szCs w:val="20"/>
              </w:rPr>
            </w:pPr>
            <w:r>
              <w:rPr>
                <w:iCs/>
                <w:sz w:val="20"/>
                <w:szCs w:val="20"/>
              </w:rPr>
              <w:lastRenderedPageBreak/>
              <w:t xml:space="preserve">English leader monitoring FREDs and </w:t>
            </w:r>
            <w:r w:rsidR="009B76D7">
              <w:rPr>
                <w:iCs/>
                <w:sz w:val="20"/>
                <w:szCs w:val="20"/>
              </w:rPr>
              <w:t>monitoring impact</w:t>
            </w:r>
            <w:r w:rsidR="001D03FC">
              <w:rPr>
                <w:iCs/>
                <w:sz w:val="20"/>
                <w:szCs w:val="20"/>
              </w:rPr>
              <w:t xml:space="preserve"> on targeted pupils. </w:t>
            </w:r>
          </w:p>
        </w:tc>
        <w:tc>
          <w:tcPr>
            <w:tcW w:w="8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BCC7" w14:textId="77777777" w:rsidR="001520CB" w:rsidRDefault="006079E2" w:rsidP="00F9610A">
            <w:pPr>
              <w:pStyle w:val="TableRowCentered"/>
              <w:ind w:left="0"/>
              <w:jc w:val="left"/>
              <w:rPr>
                <w:sz w:val="20"/>
              </w:rPr>
            </w:pPr>
            <w:r w:rsidRPr="006079E2">
              <w:rPr>
                <w:sz w:val="20"/>
              </w:rPr>
              <w:lastRenderedPageBreak/>
              <w:t>EEF</w:t>
            </w:r>
          </w:p>
          <w:p w14:paraId="16A5FE2A" w14:textId="77777777" w:rsidR="006079E2" w:rsidRDefault="003B0BCB" w:rsidP="00F9610A">
            <w:pPr>
              <w:pStyle w:val="TableRowCentered"/>
              <w:ind w:left="0"/>
              <w:jc w:val="left"/>
              <w:rPr>
                <w:sz w:val="20"/>
              </w:rPr>
            </w:pPr>
            <w:hyperlink r:id="rId10" w:history="1">
              <w:r w:rsidRPr="003B0BCB">
                <w:rPr>
                  <w:rStyle w:val="Hyperlink"/>
                  <w:sz w:val="20"/>
                </w:rPr>
                <w:t>Reading comprehension strategies | EEF</w:t>
              </w:r>
            </w:hyperlink>
          </w:p>
          <w:p w14:paraId="3BB48514" w14:textId="01CC4F0E" w:rsidR="0015318C" w:rsidRPr="006079E2" w:rsidRDefault="0015318C" w:rsidP="00F9610A">
            <w:pPr>
              <w:pStyle w:val="TableRowCentered"/>
              <w:ind w:left="0"/>
              <w:jc w:val="left"/>
              <w:rPr>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20D1" w14:textId="7914570D" w:rsidR="001520CB" w:rsidRDefault="0015318C">
            <w:pPr>
              <w:pStyle w:val="TableRowCentered"/>
              <w:jc w:val="left"/>
              <w:rPr>
                <w:sz w:val="22"/>
              </w:rPr>
            </w:pPr>
            <w:r>
              <w:rPr>
                <w:sz w:val="22"/>
              </w:rPr>
              <w:t>2</w:t>
            </w:r>
          </w:p>
        </w:tc>
      </w:tr>
      <w:tr w:rsidR="006276FE" w14:paraId="31258D7C" w14:textId="77777777" w:rsidTr="001318A3">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A3906" w14:textId="77777777" w:rsidR="00B00CAD" w:rsidRPr="00BD477B" w:rsidRDefault="00B00CAD" w:rsidP="00B00CAD">
            <w:pPr>
              <w:pStyle w:val="TableRow"/>
              <w:rPr>
                <w:sz w:val="20"/>
                <w:szCs w:val="20"/>
              </w:rPr>
            </w:pPr>
            <w:r w:rsidRPr="00BD477B">
              <w:rPr>
                <w:b/>
                <w:bCs/>
                <w:sz w:val="20"/>
                <w:szCs w:val="20"/>
              </w:rPr>
              <w:t>ECT programme &amp; mentor release time</w:t>
            </w:r>
            <w:r w:rsidRPr="00BD477B">
              <w:rPr>
                <w:sz w:val="20"/>
                <w:szCs w:val="20"/>
              </w:rPr>
              <w:t xml:space="preserve"> </w:t>
            </w:r>
          </w:p>
          <w:p w14:paraId="24CA8A60" w14:textId="78D27318" w:rsidR="00B00CAD" w:rsidRPr="00BD477B" w:rsidRDefault="00B00CAD" w:rsidP="00B00CAD">
            <w:pPr>
              <w:pStyle w:val="TableRow"/>
              <w:rPr>
                <w:sz w:val="20"/>
                <w:szCs w:val="20"/>
              </w:rPr>
            </w:pPr>
            <w:r w:rsidRPr="00BD477B">
              <w:rPr>
                <w:sz w:val="20"/>
                <w:szCs w:val="20"/>
              </w:rPr>
              <w:t>ECT</w:t>
            </w:r>
            <w:r w:rsidR="00054ABE">
              <w:rPr>
                <w:sz w:val="20"/>
                <w:szCs w:val="20"/>
              </w:rPr>
              <w:t xml:space="preserve"> </w:t>
            </w:r>
            <w:r w:rsidRPr="00BD477B">
              <w:rPr>
                <w:sz w:val="20"/>
                <w:szCs w:val="20"/>
              </w:rPr>
              <w:t xml:space="preserve">to receive bespoke support from EHLT programme to ensure high quality delivery of curriculum across school. </w:t>
            </w:r>
          </w:p>
          <w:p w14:paraId="5FC5FFE9" w14:textId="335ACD4F" w:rsidR="006276FE" w:rsidRPr="00710775" w:rsidRDefault="006276FE" w:rsidP="006276FE">
            <w:pPr>
              <w:pStyle w:val="TableRow"/>
              <w:rPr>
                <w:iCs/>
                <w:sz w:val="20"/>
                <w:szCs w:val="20"/>
              </w:rPr>
            </w:pPr>
          </w:p>
        </w:tc>
        <w:tc>
          <w:tcPr>
            <w:tcW w:w="829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8106A0F" w14:textId="77777777" w:rsidR="004A39E3" w:rsidRPr="004A39E3" w:rsidRDefault="004A39E3" w:rsidP="004A39E3">
            <w:pPr>
              <w:pStyle w:val="TableRowCentered"/>
              <w:jc w:val="left"/>
              <w:rPr>
                <w:sz w:val="20"/>
              </w:rPr>
            </w:pPr>
            <w:r w:rsidRPr="004A39E3">
              <w:rPr>
                <w:sz w:val="20"/>
              </w:rPr>
              <w:t xml:space="preserve">EEF recommend high quality CPD, notably during the ECF. </w:t>
            </w:r>
          </w:p>
          <w:p w14:paraId="49F78993" w14:textId="78C179CB" w:rsidR="006276FE" w:rsidRPr="00710775" w:rsidRDefault="004A39E3" w:rsidP="004A39E3">
            <w:pPr>
              <w:pStyle w:val="TableRowCentered"/>
              <w:ind w:left="0"/>
              <w:jc w:val="left"/>
              <w:rPr>
                <w:sz w:val="20"/>
              </w:rPr>
            </w:pPr>
            <w:hyperlink r:id="rId11">
              <w:r w:rsidRPr="004A39E3">
                <w:rPr>
                  <w:rStyle w:val="Hyperlink"/>
                  <w:sz w:val="20"/>
                </w:rPr>
                <w:t>https://educationendowmentfoundation.org.uk/education-evidence/guidance-reports/effective-professional-development</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B6E0" w14:textId="54F4CD7B" w:rsidR="006276FE" w:rsidRDefault="001318A3" w:rsidP="006276FE">
            <w:pPr>
              <w:pStyle w:val="TableRowCentered"/>
              <w:jc w:val="left"/>
              <w:rPr>
                <w:sz w:val="22"/>
              </w:rPr>
            </w:pPr>
            <w:r>
              <w:rPr>
                <w:sz w:val="22"/>
              </w:rPr>
              <w:t>1,2,3,5</w:t>
            </w:r>
          </w:p>
        </w:tc>
      </w:tr>
      <w:tr w:rsidR="006276FE" w14:paraId="2A7D5521" w14:textId="77777777" w:rsidTr="001318A3">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364FC76" w:rsidR="006276FE" w:rsidRPr="00BD477B" w:rsidRDefault="00BD477B" w:rsidP="00BD477B">
            <w:pPr>
              <w:pStyle w:val="TableRow"/>
              <w:rPr>
                <w:b/>
                <w:bCs/>
                <w:sz w:val="20"/>
                <w:szCs w:val="20"/>
              </w:rPr>
            </w:pPr>
            <w:r w:rsidRPr="00BD477B">
              <w:rPr>
                <w:b/>
                <w:bCs/>
                <w:sz w:val="20"/>
                <w:szCs w:val="20"/>
              </w:rPr>
              <w:t>Pupil Premium leader -</w:t>
            </w:r>
            <w:r w:rsidRPr="00AD368E">
              <w:rPr>
                <w:sz w:val="20"/>
                <w:szCs w:val="20"/>
              </w:rPr>
              <w:t xml:space="preserve"> half</w:t>
            </w:r>
            <w:r w:rsidRPr="00BD477B">
              <w:rPr>
                <w:sz w:val="20"/>
                <w:szCs w:val="20"/>
              </w:rPr>
              <w:t xml:space="preserve"> termly monitoring of PP pupils</w:t>
            </w:r>
            <w:r w:rsidR="00913600">
              <w:rPr>
                <w:sz w:val="20"/>
                <w:szCs w:val="20"/>
              </w:rPr>
              <w:t xml:space="preserve">. </w:t>
            </w:r>
          </w:p>
        </w:tc>
        <w:tc>
          <w:tcPr>
            <w:tcW w:w="8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0DD24" w14:textId="77777777" w:rsidR="00AD68F6" w:rsidRPr="00AD68F6" w:rsidRDefault="00AD68F6" w:rsidP="00AD68F6">
            <w:pPr>
              <w:pStyle w:val="TableRowCentered"/>
              <w:jc w:val="left"/>
              <w:rPr>
                <w:sz w:val="20"/>
              </w:rPr>
            </w:pPr>
            <w:r w:rsidRPr="00AD68F6">
              <w:rPr>
                <w:sz w:val="20"/>
              </w:rPr>
              <w:t xml:space="preserve">EEF Pupil premium guidance outline the importance of ‘monitoring and evaluating the PP strategy’ to ensure it is effective. </w:t>
            </w:r>
          </w:p>
          <w:p w14:paraId="2A7D551F" w14:textId="3AF057AA" w:rsidR="00145949" w:rsidRPr="00710775" w:rsidRDefault="00AD68F6" w:rsidP="00AD68F6">
            <w:pPr>
              <w:pStyle w:val="TableRowCentered"/>
              <w:jc w:val="left"/>
              <w:rPr>
                <w:sz w:val="20"/>
              </w:rPr>
            </w:pPr>
            <w:hyperlink r:id="rId12">
              <w:r w:rsidRPr="00AD68F6">
                <w:rPr>
                  <w:rStyle w:val="Hyperlink"/>
                  <w:sz w:val="20"/>
                </w:rPr>
                <w:t>https://d2tic4wvo1iusb.cloudfront.net/production/documents/guidance-for-teachers/pupil-premium/Pupil-Premium-2023.pdf?v=1696434151</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5E72BDB" w:rsidR="006276FE" w:rsidRDefault="00430F2E" w:rsidP="006276FE">
            <w:pPr>
              <w:pStyle w:val="TableRowCentered"/>
              <w:jc w:val="left"/>
              <w:rPr>
                <w:sz w:val="22"/>
              </w:rPr>
            </w:pPr>
            <w:r>
              <w:rPr>
                <w:sz w:val="22"/>
              </w:rPr>
              <w:t>1,2,3,4,5</w:t>
            </w:r>
          </w:p>
        </w:tc>
      </w:tr>
      <w:tr w:rsidR="00BC3707" w14:paraId="3DA91C07" w14:textId="77777777" w:rsidTr="001318A3">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58EBC" w14:textId="51C0AC2A" w:rsidR="00BC3707" w:rsidRPr="00710775" w:rsidRDefault="00CA05B4" w:rsidP="006276FE">
            <w:pPr>
              <w:pStyle w:val="TableRow"/>
              <w:rPr>
                <w:sz w:val="20"/>
                <w:szCs w:val="20"/>
              </w:rPr>
            </w:pPr>
            <w:r>
              <w:rPr>
                <w:sz w:val="20"/>
                <w:szCs w:val="20"/>
              </w:rPr>
              <w:t>Core subject leader release time. Plan, monitor and lead curriculum subjects</w:t>
            </w:r>
            <w:r w:rsidR="008F2770">
              <w:rPr>
                <w:sz w:val="20"/>
                <w:szCs w:val="20"/>
              </w:rPr>
              <w:t xml:space="preserve">. </w:t>
            </w:r>
          </w:p>
        </w:tc>
        <w:tc>
          <w:tcPr>
            <w:tcW w:w="8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8043" w14:textId="718DBBC4" w:rsidR="00BC3707" w:rsidRPr="001F261F" w:rsidRDefault="001F261F" w:rsidP="006276FE">
            <w:pPr>
              <w:pStyle w:val="TableRowCentered"/>
              <w:jc w:val="left"/>
              <w:rPr>
                <w:sz w:val="20"/>
              </w:rPr>
            </w:pPr>
            <w:r w:rsidRPr="001F261F">
              <w:rPr>
                <w:sz w:val="20"/>
              </w:rPr>
              <w:t xml:space="preserve">The EEF identify ‘Sustain’ as a key part of the implementation process to ensure that improvement can continue to impact positively on pupils. See ‘Schools guide to implementation’ </w:t>
            </w:r>
            <w:hyperlink r:id="rId13">
              <w:r w:rsidRPr="001F261F">
                <w:rPr>
                  <w:rStyle w:val="Hyperlink"/>
                  <w:sz w:val="20"/>
                </w:rPr>
                <w:t>https://d2tic4wvo1iusb.cloudfront.net/eef-guidance-reports/implementation/EEF-Implementation-Recommendations-Poster.pdf?v=1671185816</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6C7F" w14:textId="7B145853" w:rsidR="00BC3707" w:rsidRDefault="0097039B" w:rsidP="006276FE">
            <w:pPr>
              <w:pStyle w:val="TableRowCentered"/>
              <w:jc w:val="left"/>
              <w:rPr>
                <w:sz w:val="22"/>
              </w:rPr>
            </w:pPr>
            <w:r>
              <w:rPr>
                <w:sz w:val="22"/>
              </w:rPr>
              <w:t>1,2,5</w:t>
            </w:r>
          </w:p>
        </w:tc>
      </w:tr>
      <w:tr w:rsidR="006276FE" w14:paraId="42702A3F" w14:textId="77777777" w:rsidTr="001318A3">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B8FD9" w14:textId="3DC19F05" w:rsidR="006276FE" w:rsidRPr="00710775" w:rsidRDefault="00CF0506" w:rsidP="006276FE">
            <w:pPr>
              <w:pStyle w:val="TableRow"/>
              <w:rPr>
                <w:sz w:val="20"/>
                <w:szCs w:val="20"/>
              </w:rPr>
            </w:pPr>
            <w:r>
              <w:rPr>
                <w:sz w:val="20"/>
                <w:szCs w:val="20"/>
              </w:rPr>
              <w:t xml:space="preserve">Subject </w:t>
            </w:r>
            <w:r w:rsidR="006276FE" w:rsidRPr="00710775">
              <w:rPr>
                <w:sz w:val="20"/>
                <w:szCs w:val="20"/>
              </w:rPr>
              <w:t>Leaders to be released to plan and monitor their curriculum subjects, ensuring children identified as Pupil Premium form a reflective percentage of children taking part in discussions. Monitoring to inform planning next steps by Leaders.</w:t>
            </w:r>
          </w:p>
        </w:tc>
        <w:tc>
          <w:tcPr>
            <w:tcW w:w="8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A36C5" w14:textId="7DFFA2D8" w:rsidR="006276FE" w:rsidRPr="00710775" w:rsidRDefault="006276FE" w:rsidP="006276FE">
            <w:pPr>
              <w:pStyle w:val="TableRowCentered"/>
              <w:jc w:val="left"/>
              <w:rPr>
                <w:sz w:val="20"/>
              </w:rPr>
            </w:pPr>
            <w:r w:rsidRPr="00710775">
              <w:rPr>
                <w:sz w:val="20"/>
              </w:rPr>
              <w:t xml:space="preserve">The EEF identify ‘Sustain’ as a key part of the implementation process to ensure that improvement can continue to impact positively on pupils. EEF - Putting Evidence to Work - A School's Guide to Implementation </w:t>
            </w:r>
            <w:hyperlink r:id="rId14" w:history="1">
              <w:r w:rsidRPr="00710775">
                <w:rPr>
                  <w:rStyle w:val="Hyperlink"/>
                  <w:sz w:val="20"/>
                </w:rPr>
                <w:t>https://d2tic4wvo1iusb.cloudfront.net/production/eef-guidance-reports/implementation/EEF_Implementation_Guidance_Report_2019.pdf?v=1699117433</w:t>
              </w:r>
            </w:hyperlink>
            <w:r w:rsidRPr="00710775">
              <w:rPr>
                <w:sz w:val="20"/>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1397" w14:textId="7608593A" w:rsidR="006276FE" w:rsidRDefault="008A0D84" w:rsidP="006276FE">
            <w:pPr>
              <w:pStyle w:val="TableRowCentered"/>
              <w:jc w:val="left"/>
              <w:rPr>
                <w:sz w:val="22"/>
              </w:rPr>
            </w:pPr>
            <w:r>
              <w:rPr>
                <w:sz w:val="22"/>
              </w:rPr>
              <w:t>1,2,4</w:t>
            </w:r>
          </w:p>
        </w:tc>
      </w:tr>
      <w:tr w:rsidR="001318A3" w14:paraId="4C36B922" w14:textId="77777777" w:rsidTr="001318A3">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89741" w14:textId="5D0F2A2C" w:rsidR="001318A3" w:rsidRPr="00710775" w:rsidRDefault="001318A3" w:rsidP="001318A3">
            <w:pPr>
              <w:pStyle w:val="TableRow"/>
              <w:rPr>
                <w:sz w:val="20"/>
                <w:szCs w:val="20"/>
              </w:rPr>
            </w:pPr>
            <w:r w:rsidRPr="00710775">
              <w:rPr>
                <w:sz w:val="20"/>
                <w:szCs w:val="20"/>
              </w:rPr>
              <w:t>Purchase high-quality Wider Curriculum subscriptions (Dimensions, 1Decision, Purple Mash</w:t>
            </w:r>
            <w:r>
              <w:rPr>
                <w:sz w:val="20"/>
                <w:szCs w:val="20"/>
              </w:rPr>
              <w:t>,</w:t>
            </w:r>
            <w:r w:rsidR="00D651AF">
              <w:rPr>
                <w:sz w:val="20"/>
                <w:szCs w:val="20"/>
              </w:rPr>
              <w:t xml:space="preserve"> Ten Town, TT Rockstars and</w:t>
            </w:r>
            <w:r>
              <w:rPr>
                <w:sz w:val="20"/>
                <w:szCs w:val="20"/>
              </w:rPr>
              <w:t xml:space="preserve"> </w:t>
            </w:r>
            <w:r w:rsidRPr="00710775">
              <w:rPr>
                <w:sz w:val="20"/>
                <w:szCs w:val="20"/>
              </w:rPr>
              <w:t>Twinkl</w:t>
            </w:r>
            <w:r>
              <w:rPr>
                <w:sz w:val="20"/>
                <w:szCs w:val="20"/>
              </w:rPr>
              <w:t xml:space="preserve"> </w:t>
            </w:r>
            <w:r w:rsidRPr="00710775">
              <w:rPr>
                <w:sz w:val="20"/>
                <w:szCs w:val="20"/>
              </w:rPr>
              <w:t>to support teachers with progressive,</w:t>
            </w:r>
            <w:r w:rsidR="00CF0506">
              <w:rPr>
                <w:sz w:val="20"/>
                <w:szCs w:val="20"/>
              </w:rPr>
              <w:t xml:space="preserve"> </w:t>
            </w:r>
            <w:r w:rsidRPr="00710775">
              <w:rPr>
                <w:sz w:val="20"/>
                <w:szCs w:val="20"/>
              </w:rPr>
              <w:t>subject-specific resources, linked to homework opportunities provided.</w:t>
            </w:r>
          </w:p>
        </w:tc>
        <w:tc>
          <w:tcPr>
            <w:tcW w:w="8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E271E" w14:textId="77777777" w:rsidR="001318A3" w:rsidRPr="00710775" w:rsidRDefault="001318A3" w:rsidP="001318A3">
            <w:pPr>
              <w:pStyle w:val="TableRowCentered"/>
              <w:jc w:val="left"/>
              <w:rPr>
                <w:sz w:val="20"/>
              </w:rPr>
            </w:pPr>
            <w:r w:rsidRPr="00710775">
              <w:rPr>
                <w:sz w:val="20"/>
              </w:rPr>
              <w:t>High quality resources aim to give teachers more time to dedicate to planning the craft of their lessons and how best to deliver lessons to suit the needs of their pu</w:t>
            </w:r>
            <w:r>
              <w:rPr>
                <w:sz w:val="20"/>
              </w:rPr>
              <w:t xml:space="preserve">pils. </w:t>
            </w:r>
          </w:p>
          <w:p w14:paraId="1ADF5AAE" w14:textId="77777777" w:rsidR="001318A3" w:rsidRPr="00710775" w:rsidRDefault="001318A3" w:rsidP="001318A3">
            <w:pPr>
              <w:pStyle w:val="TableRowCentered"/>
              <w:jc w:val="left"/>
              <w:rPr>
                <w:sz w:val="20"/>
              </w:rPr>
            </w:pPr>
          </w:p>
          <w:p w14:paraId="05A68235" w14:textId="77777777" w:rsidR="001318A3" w:rsidRPr="00710775" w:rsidRDefault="001318A3" w:rsidP="001318A3">
            <w:pPr>
              <w:pStyle w:val="TableRowCentered"/>
              <w:jc w:val="left"/>
              <w:rPr>
                <w:sz w:val="20"/>
              </w:rPr>
            </w:pPr>
            <w:r w:rsidRPr="00710775">
              <w:rPr>
                <w:sz w:val="20"/>
              </w:rPr>
              <w:t xml:space="preserve">Homework that is linked to classroom work tends to be more effective. </w:t>
            </w:r>
            <w:proofErr w:type="gramStart"/>
            <w:r w:rsidRPr="00710775">
              <w:rPr>
                <w:sz w:val="20"/>
              </w:rPr>
              <w:t>In particular, studies</w:t>
            </w:r>
            <w:proofErr w:type="gramEnd"/>
            <w:r w:rsidRPr="00710775">
              <w:rPr>
                <w:sz w:val="20"/>
              </w:rPr>
              <w:t xml:space="preserve"> that included feedback on homework had higher impacts on learning (+5months)</w:t>
            </w:r>
          </w:p>
          <w:p w14:paraId="4B9F4B44" w14:textId="5FDDD92F" w:rsidR="001318A3" w:rsidRPr="00710775" w:rsidRDefault="001318A3" w:rsidP="001318A3">
            <w:pPr>
              <w:pStyle w:val="TableRowCentered"/>
              <w:jc w:val="left"/>
              <w:rPr>
                <w:sz w:val="20"/>
              </w:rPr>
            </w:pPr>
            <w:hyperlink r:id="rId15" w:history="1">
              <w:r w:rsidRPr="00710775">
                <w:rPr>
                  <w:rStyle w:val="Hyperlink"/>
                  <w:sz w:val="20"/>
                </w:rPr>
                <w:t>https://educationendowmentfoundation.org.uk/education-evidence/teaching-learning-toolkit/homework</w:t>
              </w:r>
            </w:hyperlink>
            <w:r w:rsidRPr="00710775">
              <w:rPr>
                <w:sz w:val="20"/>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4173" w14:textId="5CE1C72D" w:rsidR="001318A3" w:rsidRDefault="001318A3" w:rsidP="001318A3">
            <w:pPr>
              <w:pStyle w:val="TableRowCentered"/>
              <w:jc w:val="left"/>
              <w:rPr>
                <w:sz w:val="22"/>
              </w:rPr>
            </w:pPr>
            <w:r>
              <w:rPr>
                <w:sz w:val="22"/>
              </w:rPr>
              <w:t>1,2,4</w:t>
            </w:r>
          </w:p>
        </w:tc>
      </w:tr>
    </w:tbl>
    <w:p w14:paraId="2A7D5522" w14:textId="452D8F28" w:rsidR="00E66558" w:rsidRDefault="00E66558">
      <w:pPr>
        <w:keepNext/>
        <w:spacing w:after="60"/>
        <w:outlineLvl w:val="1"/>
      </w:pPr>
    </w:p>
    <w:p w14:paraId="50B00231" w14:textId="0B50F828" w:rsidR="000952FC" w:rsidRDefault="000952FC">
      <w:pPr>
        <w:keepNext/>
        <w:spacing w:after="60"/>
        <w:outlineLvl w:val="1"/>
      </w:pPr>
    </w:p>
    <w:p w14:paraId="129E9A0E" w14:textId="77777777" w:rsidR="005D59B5" w:rsidRDefault="005D59B5">
      <w:pPr>
        <w:keepNext/>
        <w:spacing w:after="60"/>
        <w:outlineLvl w:val="1"/>
      </w:pPr>
    </w:p>
    <w:p w14:paraId="29D88D01" w14:textId="000E9E69" w:rsidR="006F2C3A" w:rsidRDefault="006F2C3A" w:rsidP="006F2C3A">
      <w:pPr>
        <w:keepNext/>
        <w:tabs>
          <w:tab w:val="left" w:pos="2843"/>
        </w:tabs>
        <w:spacing w:after="60"/>
        <w:outlineLvl w:val="1"/>
      </w:pPr>
      <w:r>
        <w:tab/>
      </w: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85079DE" w:rsidR="00E66558" w:rsidRDefault="008107F9">
      <w:r>
        <w:t>Budgeted cost:</w:t>
      </w:r>
      <w:r w:rsidR="00BE246E">
        <w:t xml:space="preserve"> </w:t>
      </w:r>
      <w:r w:rsidR="00081F34">
        <w:t>£</w:t>
      </w:r>
      <w:r w:rsidR="00054803">
        <w:t>7</w:t>
      </w:r>
      <w:r w:rsidR="00DC0DD8">
        <w:t>5</w:t>
      </w:r>
      <w:r w:rsidR="00655355">
        <w:t>,0</w:t>
      </w:r>
      <w:r w:rsidR="00C70A3D">
        <w:t>00</w:t>
      </w:r>
    </w:p>
    <w:tbl>
      <w:tblPr>
        <w:tblW w:w="5000" w:type="pct"/>
        <w:tblLayout w:type="fixed"/>
        <w:tblCellMar>
          <w:left w:w="10" w:type="dxa"/>
          <w:right w:w="10" w:type="dxa"/>
        </w:tblCellMar>
        <w:tblLook w:val="04A0" w:firstRow="1" w:lastRow="0" w:firstColumn="1" w:lastColumn="0" w:noHBand="0" w:noVBand="1"/>
      </w:tblPr>
      <w:tblGrid>
        <w:gridCol w:w="5240"/>
        <w:gridCol w:w="7777"/>
        <w:gridCol w:w="1543"/>
      </w:tblGrid>
      <w:tr w:rsidR="00E66558" w14:paraId="2A7D5528" w14:textId="77777777" w:rsidTr="00274E45">
        <w:tc>
          <w:tcPr>
            <w:tcW w:w="52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77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2E3321" w14:paraId="2A7D5530" w14:textId="77777777" w:rsidTr="00DA33DE">
        <w:tc>
          <w:tcPr>
            <w:tcW w:w="524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2D" w14:textId="5CB65E38" w:rsidR="002E3321" w:rsidRPr="00B93667" w:rsidRDefault="002E3321" w:rsidP="00E22BDE">
            <w:pPr>
              <w:pStyle w:val="TableRow"/>
              <w:ind w:left="0"/>
              <w:rPr>
                <w:sz w:val="20"/>
                <w:szCs w:val="20"/>
              </w:rPr>
            </w:pPr>
            <w:r w:rsidRPr="00B93667">
              <w:rPr>
                <w:sz w:val="20"/>
                <w:szCs w:val="20"/>
              </w:rPr>
              <w:t>EYFS timetable</w:t>
            </w:r>
            <w:r>
              <w:rPr>
                <w:sz w:val="20"/>
                <w:szCs w:val="20"/>
              </w:rPr>
              <w:t xml:space="preserve"> and </w:t>
            </w:r>
            <w:r w:rsidRPr="00B93667">
              <w:rPr>
                <w:sz w:val="20"/>
                <w:szCs w:val="20"/>
              </w:rPr>
              <w:t>routine will be amended to include further opportunities for oral language</w:t>
            </w:r>
            <w:r>
              <w:rPr>
                <w:sz w:val="20"/>
                <w:szCs w:val="20"/>
              </w:rPr>
              <w:t>.</w:t>
            </w:r>
          </w:p>
        </w:tc>
        <w:tc>
          <w:tcPr>
            <w:tcW w:w="777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2E" w14:textId="4079C483" w:rsidR="002E3321" w:rsidRPr="00B93667" w:rsidRDefault="002E3321" w:rsidP="002B030A">
            <w:pPr>
              <w:pStyle w:val="TableRowCentered"/>
              <w:ind w:left="0"/>
              <w:jc w:val="left"/>
              <w:rPr>
                <w:sz w:val="20"/>
              </w:rPr>
            </w:pPr>
            <w:r w:rsidRPr="00B93667">
              <w:rPr>
                <w:sz w:val="20"/>
              </w:rPr>
              <w:t xml:space="preserve">There is a strong evidence base that suggests oral language interventions, including dialogic activities such as high-quality classroom discussion, are inexpensive to implement with high impacts on reading: </w:t>
            </w:r>
            <w:hyperlink r:id="rId16" w:history="1">
              <w:r w:rsidRPr="00B93667">
                <w:rPr>
                  <w:rStyle w:val="Hyperlink"/>
                  <w:sz w:val="20"/>
                </w:rPr>
                <w:t>Oral language interventions | EEF (educationendowmentfoundation.org.uk)</w:t>
              </w:r>
            </w:hyperlink>
            <w:r w:rsidRPr="00B93667">
              <w:rPr>
                <w:sz w:val="20"/>
              </w:rPr>
              <w:t xml:space="preserve"> (+6months)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953EB73" w:rsidR="002E3321" w:rsidRDefault="002E3321">
            <w:pPr>
              <w:pStyle w:val="TableRowCentered"/>
              <w:jc w:val="left"/>
              <w:rPr>
                <w:sz w:val="22"/>
              </w:rPr>
            </w:pPr>
            <w:r>
              <w:rPr>
                <w:sz w:val="22"/>
              </w:rPr>
              <w:t>1</w:t>
            </w:r>
          </w:p>
        </w:tc>
      </w:tr>
      <w:tr w:rsidR="002E3321" w14:paraId="3B2DBB94" w14:textId="77777777" w:rsidTr="00DA33DE">
        <w:tc>
          <w:tcPr>
            <w:tcW w:w="524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A0415" w14:textId="3FCA14C4" w:rsidR="002E3321" w:rsidRPr="00B93667" w:rsidRDefault="002E3321" w:rsidP="00E22BDE">
            <w:pPr>
              <w:pStyle w:val="TableRow"/>
              <w:ind w:left="0"/>
              <w:rPr>
                <w:sz w:val="20"/>
                <w:szCs w:val="20"/>
              </w:rPr>
            </w:pPr>
          </w:p>
        </w:tc>
        <w:tc>
          <w:tcPr>
            <w:tcW w:w="777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4C" w14:textId="77777777" w:rsidR="002E3321" w:rsidRPr="00B93667" w:rsidRDefault="002E3321" w:rsidP="002B030A">
            <w:pPr>
              <w:pStyle w:val="TableRowCentered"/>
              <w:ind w:left="0"/>
              <w:jc w:val="left"/>
              <w:rPr>
                <w:sz w:val="2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CA11" w14:textId="637C6B79" w:rsidR="002E3321" w:rsidRDefault="002E3321">
            <w:pPr>
              <w:pStyle w:val="TableRowCentered"/>
              <w:jc w:val="left"/>
              <w:rPr>
                <w:sz w:val="22"/>
              </w:rPr>
            </w:pPr>
            <w:r>
              <w:rPr>
                <w:sz w:val="22"/>
              </w:rPr>
              <w:t>1</w:t>
            </w:r>
          </w:p>
        </w:tc>
      </w:tr>
      <w:tr w:rsidR="008668C7" w14:paraId="161DD5B3" w14:textId="77777777" w:rsidTr="0084221C">
        <w:trPr>
          <w:trHeight w:val="1620"/>
        </w:trPr>
        <w:tc>
          <w:tcPr>
            <w:tcW w:w="524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D154C8F" w14:textId="6631066B" w:rsidR="008668C7" w:rsidRPr="00B93667" w:rsidRDefault="008668C7" w:rsidP="00E22BDE">
            <w:pPr>
              <w:pStyle w:val="TableRow"/>
              <w:ind w:left="0"/>
              <w:rPr>
                <w:sz w:val="20"/>
                <w:szCs w:val="20"/>
              </w:rPr>
            </w:pPr>
            <w:r w:rsidRPr="00B93667">
              <w:rPr>
                <w:sz w:val="20"/>
                <w:szCs w:val="20"/>
              </w:rPr>
              <w:t>Pupils identified for additional phonic support from baseline data. Identified pupils assessed to identify targets and next steps. Sessions and assessments to be recorded for evidence. Half termly progress meetings to discuss pupils’ progress and identify next steps.</w:t>
            </w:r>
          </w:p>
        </w:tc>
        <w:tc>
          <w:tcPr>
            <w:tcW w:w="777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F564AF" w14:textId="77777777" w:rsidR="008668C7" w:rsidRPr="00B93667" w:rsidRDefault="008668C7" w:rsidP="002B030A">
            <w:pPr>
              <w:pStyle w:val="TableRowCentered"/>
              <w:ind w:left="0"/>
              <w:jc w:val="left"/>
              <w:rPr>
                <w:sz w:val="20"/>
              </w:rPr>
            </w:pPr>
            <w:r w:rsidRPr="00B93667">
              <w:rPr>
                <w:sz w:val="20"/>
              </w:rPr>
              <w:t xml:space="preserve">Phonics approaches have a strong evidence base that indicates a positive impact on the accuracy of word reading (though not necessarily comprehension), particularly for disadvantaged pupils: </w:t>
            </w:r>
            <w:hyperlink r:id="rId17" w:history="1">
              <w:r w:rsidRPr="00B93667">
                <w:rPr>
                  <w:rStyle w:val="Hyperlink"/>
                  <w:sz w:val="20"/>
                </w:rPr>
                <w:t>Phonics | EEF (educationendowmentfoundation.org.uk)</w:t>
              </w:r>
            </w:hyperlink>
            <w:r w:rsidRPr="00B93667">
              <w:rPr>
                <w:sz w:val="20"/>
              </w:rPr>
              <w:t xml:space="preserve"> (+5 months)</w:t>
            </w:r>
          </w:p>
          <w:p w14:paraId="21957940" w14:textId="77777777" w:rsidR="008668C7" w:rsidRPr="00B93667" w:rsidRDefault="008668C7" w:rsidP="002B030A">
            <w:pPr>
              <w:pStyle w:val="TableRowCentered"/>
              <w:ind w:left="0"/>
              <w:jc w:val="left"/>
              <w:rPr>
                <w:sz w:val="20"/>
              </w:rPr>
            </w:pPr>
          </w:p>
          <w:p w14:paraId="6526EDD4" w14:textId="5CB17B03" w:rsidR="008668C7" w:rsidRPr="00B93667" w:rsidRDefault="008668C7" w:rsidP="002B030A">
            <w:pPr>
              <w:pStyle w:val="TableRowCentered"/>
              <w:ind w:left="0"/>
              <w:jc w:val="left"/>
              <w:rPr>
                <w:sz w:val="20"/>
              </w:rPr>
            </w:pPr>
            <w:r w:rsidRPr="00B93667">
              <w:rPr>
                <w:sz w:val="20"/>
              </w:rPr>
              <w:t xml:space="preserve"> </w:t>
            </w:r>
          </w:p>
        </w:tc>
        <w:tc>
          <w:tcPr>
            <w:tcW w:w="15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86DE8DE" w14:textId="77777777" w:rsidR="008668C7" w:rsidRDefault="008668C7">
            <w:pPr>
              <w:pStyle w:val="TableRowCentered"/>
              <w:jc w:val="left"/>
              <w:rPr>
                <w:sz w:val="22"/>
              </w:rPr>
            </w:pPr>
            <w:r>
              <w:rPr>
                <w:sz w:val="22"/>
              </w:rPr>
              <w:t>1</w:t>
            </w:r>
          </w:p>
          <w:p w14:paraId="217EBCCD" w14:textId="7FDA3795" w:rsidR="008668C7" w:rsidRDefault="008668C7" w:rsidP="008668C7">
            <w:pPr>
              <w:pStyle w:val="TableRowCentered"/>
              <w:ind w:left="0"/>
              <w:jc w:val="left"/>
              <w:rPr>
                <w:sz w:val="22"/>
              </w:rPr>
            </w:pPr>
          </w:p>
        </w:tc>
      </w:tr>
      <w:tr w:rsidR="007300F4" w14:paraId="3A25B0A5" w14:textId="77777777" w:rsidTr="00274E45">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3477D" w14:textId="0AECE43B" w:rsidR="007300F4" w:rsidRPr="00C9689E" w:rsidRDefault="007300F4" w:rsidP="007300F4">
            <w:pPr>
              <w:pStyle w:val="TableRow"/>
              <w:spacing w:line="259" w:lineRule="auto"/>
              <w:rPr>
                <w:sz w:val="20"/>
                <w:szCs w:val="20"/>
              </w:rPr>
            </w:pPr>
            <w:r w:rsidRPr="007300F4">
              <w:rPr>
                <w:sz w:val="20"/>
                <w:szCs w:val="20"/>
              </w:rPr>
              <w:t>Teaching Assistants</w:t>
            </w:r>
            <w:r w:rsidRPr="00DA5897">
              <w:rPr>
                <w:sz w:val="20"/>
                <w:szCs w:val="20"/>
              </w:rPr>
              <w:t xml:space="preserve"> (proportion funded by pupil premium funding)</w:t>
            </w:r>
            <w:r>
              <w:rPr>
                <w:sz w:val="20"/>
                <w:szCs w:val="20"/>
              </w:rPr>
              <w:t xml:space="preserve"> </w:t>
            </w:r>
            <w:r w:rsidRPr="00DA5897">
              <w:rPr>
                <w:sz w:val="20"/>
                <w:szCs w:val="20"/>
              </w:rPr>
              <w:t>T</w:t>
            </w:r>
            <w:r>
              <w:rPr>
                <w:sz w:val="20"/>
                <w:szCs w:val="20"/>
              </w:rPr>
              <w:t xml:space="preserve">eaching assistants </w:t>
            </w:r>
            <w:r w:rsidRPr="00DA5897">
              <w:rPr>
                <w:sz w:val="20"/>
                <w:szCs w:val="20"/>
              </w:rPr>
              <w:t>deliver targeted interventions, small group &amp; individual support for reading, writing and maths (including phonics</w:t>
            </w:r>
            <w:r w:rsidR="00165EC8">
              <w:rPr>
                <w:sz w:val="20"/>
                <w:szCs w:val="20"/>
              </w:rPr>
              <w:t>,</w:t>
            </w:r>
            <w:r w:rsidRPr="00DA5897">
              <w:rPr>
                <w:sz w:val="20"/>
                <w:szCs w:val="20"/>
              </w:rPr>
              <w:t xml:space="preserve"> spelling</w:t>
            </w:r>
            <w:r w:rsidR="00165EC8">
              <w:rPr>
                <w:sz w:val="20"/>
                <w:szCs w:val="20"/>
              </w:rPr>
              <w:t xml:space="preserve"> and times tables</w:t>
            </w:r>
            <w:r w:rsidRPr="00DA5897">
              <w:rPr>
                <w:sz w:val="20"/>
                <w:szCs w:val="20"/>
              </w:rPr>
              <w:t>).</w:t>
            </w:r>
            <w:r w:rsidRPr="779AA5E2">
              <w:rPr>
                <w:i/>
                <w:iCs/>
                <w:sz w:val="22"/>
                <w:szCs w:val="22"/>
              </w:rPr>
              <w:t xml:space="preserve">  </w:t>
            </w:r>
          </w:p>
        </w:tc>
        <w:tc>
          <w:tcPr>
            <w:tcW w:w="7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FEAF" w14:textId="77777777" w:rsidR="007300F4" w:rsidRPr="00994503" w:rsidRDefault="007300F4" w:rsidP="007300F4">
            <w:pPr>
              <w:pStyle w:val="TableRowCentered"/>
              <w:jc w:val="left"/>
              <w:rPr>
                <w:sz w:val="20"/>
              </w:rPr>
            </w:pPr>
            <w:r w:rsidRPr="00994503">
              <w:rPr>
                <w:sz w:val="20"/>
              </w:rPr>
              <w:t xml:space="preserve"> EEF + 5 months for TAs delivering small group interventions &amp; support. </w:t>
            </w:r>
          </w:p>
          <w:p w14:paraId="5C8F4FD2" w14:textId="77777777" w:rsidR="007300F4" w:rsidRPr="00994503" w:rsidRDefault="007300F4" w:rsidP="007300F4">
            <w:pPr>
              <w:pStyle w:val="TableRowCentered"/>
              <w:jc w:val="left"/>
              <w:rPr>
                <w:sz w:val="20"/>
              </w:rPr>
            </w:pPr>
            <w:hyperlink r:id="rId18">
              <w:r w:rsidRPr="00994503">
                <w:rPr>
                  <w:rStyle w:val="Hyperlink"/>
                  <w:sz w:val="20"/>
                </w:rPr>
                <w:t>https://educationendowmentfoundation.org.uk/education-evidence/teaching-learning-toolkit/teaching-assistant-interventions</w:t>
              </w:r>
            </w:hyperlink>
          </w:p>
          <w:p w14:paraId="34AA4C05" w14:textId="00F619BD" w:rsidR="007300F4" w:rsidRPr="00C9689E" w:rsidRDefault="007300F4" w:rsidP="007300F4">
            <w:pPr>
              <w:pStyle w:val="TableRowCentered"/>
              <w:jc w:val="left"/>
              <w:rPr>
                <w:sz w:val="2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32BD8" w14:textId="571D2217" w:rsidR="007300F4" w:rsidRDefault="007300F4" w:rsidP="007300F4">
            <w:pPr>
              <w:pStyle w:val="TableRowCentered"/>
              <w:jc w:val="left"/>
              <w:rPr>
                <w:sz w:val="22"/>
              </w:rPr>
            </w:pPr>
            <w:r>
              <w:rPr>
                <w:sz w:val="22"/>
              </w:rPr>
              <w:t>1,2,3</w:t>
            </w:r>
          </w:p>
        </w:tc>
      </w:tr>
      <w:tr w:rsidR="007300F4" w14:paraId="192B3A69" w14:textId="77777777" w:rsidTr="00274E45">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6619E" w14:textId="051AA5C9" w:rsidR="007300F4" w:rsidRPr="00C9689E" w:rsidRDefault="007300F4" w:rsidP="007300F4">
            <w:pPr>
              <w:pStyle w:val="TableRow"/>
              <w:rPr>
                <w:iCs/>
                <w:sz w:val="20"/>
                <w:szCs w:val="20"/>
              </w:rPr>
            </w:pPr>
            <w:r w:rsidRPr="00C9689E">
              <w:rPr>
                <w:iCs/>
                <w:sz w:val="20"/>
                <w:szCs w:val="20"/>
              </w:rPr>
              <w:t xml:space="preserve">1:1 emotional support intervention </w:t>
            </w:r>
            <w:r w:rsidR="00294B2B">
              <w:rPr>
                <w:iCs/>
                <w:sz w:val="20"/>
                <w:szCs w:val="20"/>
              </w:rPr>
              <w:t xml:space="preserve">led by HLTA </w:t>
            </w:r>
            <w:r w:rsidRPr="00C9689E">
              <w:rPr>
                <w:iCs/>
                <w:sz w:val="20"/>
                <w:szCs w:val="20"/>
              </w:rPr>
              <w:t>with selected pupils displaying emotional needs</w:t>
            </w:r>
            <w:r>
              <w:rPr>
                <w:iCs/>
                <w:sz w:val="20"/>
                <w:szCs w:val="20"/>
              </w:rPr>
              <w:t>.</w:t>
            </w:r>
            <w:r w:rsidR="00294B2B">
              <w:rPr>
                <w:iCs/>
                <w:sz w:val="20"/>
                <w:szCs w:val="20"/>
              </w:rPr>
              <w:t xml:space="preserve"> Hamish and Milo intervention tool purchased to </w:t>
            </w:r>
            <w:r w:rsidR="006F0184">
              <w:rPr>
                <w:iCs/>
                <w:sz w:val="20"/>
                <w:szCs w:val="20"/>
              </w:rPr>
              <w:t xml:space="preserve">provide a bespoke programme.  </w:t>
            </w:r>
          </w:p>
        </w:tc>
        <w:tc>
          <w:tcPr>
            <w:tcW w:w="7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BE49C" w14:textId="795792D7" w:rsidR="007300F4" w:rsidRPr="00C9689E" w:rsidRDefault="007300F4" w:rsidP="007300F4">
            <w:pPr>
              <w:pStyle w:val="TableRowCentered"/>
              <w:jc w:val="left"/>
              <w:rPr>
                <w:sz w:val="20"/>
              </w:rPr>
            </w:pPr>
            <w:r w:rsidRPr="00C9689E">
              <w:rPr>
                <w:sz w:val="20"/>
              </w:rPr>
              <w:t xml:space="preserve">More specialised programmes which use elements of SEL and are targeted at students with particular social or emotional needs. (+4 months) </w:t>
            </w:r>
            <w:hyperlink r:id="rId19" w:history="1">
              <w:r w:rsidRPr="00C9689E">
                <w:rPr>
                  <w:rStyle w:val="Hyperlink"/>
                  <w:sz w:val="20"/>
                </w:rPr>
                <w:t>https://educationendowmentfoundation.org.uk/education-evidence/teaching-learning-toolkit/social-and-emotional-learning?utm_source=/education-evidence/teaching-learning-toolkit/social-and-emotional-</w:t>
              </w:r>
              <w:r w:rsidRPr="00C9689E">
                <w:rPr>
                  <w:rStyle w:val="Hyperlink"/>
                  <w:sz w:val="20"/>
                </w:rPr>
                <w:lastRenderedPageBreak/>
                <w:t>learning&amp;utm_medium=search&amp;utm_campaign=site_search&amp;search_term=emotional%20support</w:t>
              </w:r>
            </w:hyperlink>
            <w:r w:rsidRPr="00C9689E">
              <w:rPr>
                <w:sz w:val="20"/>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DF20A" w14:textId="4CCAE855" w:rsidR="007300F4" w:rsidRDefault="007300F4" w:rsidP="007300F4">
            <w:pPr>
              <w:pStyle w:val="TableRowCentered"/>
              <w:jc w:val="left"/>
              <w:rPr>
                <w:sz w:val="22"/>
              </w:rPr>
            </w:pPr>
            <w:r>
              <w:rPr>
                <w:sz w:val="22"/>
              </w:rPr>
              <w:lastRenderedPageBreak/>
              <w:t>3</w:t>
            </w:r>
          </w:p>
        </w:tc>
      </w:tr>
    </w:tbl>
    <w:p w14:paraId="2A7D5531" w14:textId="72A7FE86" w:rsidR="00E66558" w:rsidRDefault="00E66558">
      <w:pPr>
        <w:spacing w:after="0"/>
        <w:rPr>
          <w:b/>
          <w:color w:val="104F75"/>
          <w:sz w:val="28"/>
          <w:szCs w:val="28"/>
        </w:rPr>
      </w:pPr>
    </w:p>
    <w:p w14:paraId="31DC4933" w14:textId="77777777" w:rsidR="00C97FDC" w:rsidRDefault="00C97FDC">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2174ECAB" w:rsidR="00E66558" w:rsidRDefault="00270D75">
      <w:pPr>
        <w:spacing w:before="240" w:after="120"/>
      </w:pPr>
      <w:r>
        <w:t xml:space="preserve">Budgeted cost: </w:t>
      </w:r>
      <w:r w:rsidR="00081F34">
        <w:t>£</w:t>
      </w:r>
      <w:r w:rsidR="00DC0DD8">
        <w:t>25</w:t>
      </w:r>
      <w:r w:rsidR="00081F34">
        <w:t>,000</w:t>
      </w:r>
    </w:p>
    <w:tbl>
      <w:tblPr>
        <w:tblW w:w="5000" w:type="pct"/>
        <w:tblCellMar>
          <w:left w:w="10" w:type="dxa"/>
          <w:right w:w="10" w:type="dxa"/>
        </w:tblCellMar>
        <w:tblLook w:val="04A0" w:firstRow="1" w:lastRow="0" w:firstColumn="1" w:lastColumn="0" w:noHBand="0" w:noVBand="1"/>
      </w:tblPr>
      <w:tblGrid>
        <w:gridCol w:w="1257"/>
        <w:gridCol w:w="11496"/>
        <w:gridCol w:w="1807"/>
      </w:tblGrid>
      <w:tr w:rsidR="002853F4" w14:paraId="2A7D5537" w14:textId="77777777" w:rsidTr="00BF09FE">
        <w:tc>
          <w:tcPr>
            <w:tcW w:w="12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114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8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2F0DBF" w:rsidRDefault="009D71E8">
            <w:pPr>
              <w:pStyle w:val="TableHeader"/>
              <w:jc w:val="left"/>
              <w:rPr>
                <w:sz w:val="18"/>
                <w:szCs w:val="18"/>
              </w:rPr>
            </w:pPr>
            <w:r w:rsidRPr="002F0DBF">
              <w:rPr>
                <w:sz w:val="18"/>
                <w:szCs w:val="18"/>
              </w:rPr>
              <w:t>Challenge number(s) addressed</w:t>
            </w:r>
          </w:p>
        </w:tc>
      </w:tr>
      <w:tr w:rsidR="002853F4" w14:paraId="0209C94A" w14:textId="77777777" w:rsidTr="00BF09FE">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582AE" w14:textId="59A5908D" w:rsidR="00DF1A5F" w:rsidRPr="00194C4A" w:rsidRDefault="00DF1A5F" w:rsidP="00DF1A5F">
            <w:pPr>
              <w:pStyle w:val="TableRow"/>
              <w:spacing w:line="259" w:lineRule="auto"/>
              <w:rPr>
                <w:sz w:val="14"/>
                <w:szCs w:val="14"/>
              </w:rPr>
            </w:pPr>
            <w:r w:rsidRPr="00194C4A">
              <w:rPr>
                <w:sz w:val="14"/>
                <w:szCs w:val="14"/>
              </w:rPr>
              <w:t xml:space="preserve">Toast provided daily to all pupils. </w:t>
            </w:r>
          </w:p>
          <w:p w14:paraId="1394807B" w14:textId="69B4F63B" w:rsidR="004B3A94" w:rsidRDefault="00DF1A5F" w:rsidP="00DF1A5F">
            <w:pPr>
              <w:pStyle w:val="TableHeader"/>
              <w:jc w:val="left"/>
            </w:pPr>
            <w:r w:rsidRPr="00194C4A">
              <w:rPr>
                <w:b w:val="0"/>
                <w:sz w:val="14"/>
                <w:szCs w:val="14"/>
              </w:rPr>
              <w:t>(Available to all pupils across school)</w:t>
            </w:r>
          </w:p>
        </w:tc>
        <w:tc>
          <w:tcPr>
            <w:tcW w:w="1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17D25" w14:textId="77777777" w:rsidR="00BF09FE" w:rsidRPr="00835987" w:rsidRDefault="004521BC">
            <w:pPr>
              <w:pStyle w:val="TableHeader"/>
              <w:jc w:val="left"/>
              <w:rPr>
                <w:b w:val="0"/>
                <w:bCs/>
                <w:sz w:val="14"/>
                <w:szCs w:val="14"/>
              </w:rPr>
            </w:pPr>
            <w:r w:rsidRPr="00835987">
              <w:rPr>
                <w:b w:val="0"/>
                <w:bCs/>
                <w:sz w:val="14"/>
                <w:szCs w:val="14"/>
              </w:rPr>
              <w:t xml:space="preserve">EEF + 2 months providing free breakfast before reading, writing &amp; maths. </w:t>
            </w:r>
          </w:p>
          <w:p w14:paraId="4311A6CE" w14:textId="2D34ADA4" w:rsidR="004B3A94" w:rsidRPr="00194C4A" w:rsidRDefault="00BF09FE">
            <w:pPr>
              <w:pStyle w:val="TableHeader"/>
              <w:jc w:val="left"/>
              <w:rPr>
                <w:sz w:val="14"/>
                <w:szCs w:val="14"/>
              </w:rPr>
            </w:pPr>
            <w:hyperlink r:id="rId20" w:history="1">
              <w:r w:rsidRPr="00331748">
                <w:rPr>
                  <w:rStyle w:val="Hyperlink"/>
                  <w:sz w:val="14"/>
                  <w:szCs w:val="14"/>
                </w:rPr>
                <w:t>https://educationendowmentfoundation.org.uk/news/breakfast-clubs-found-to-boost-primary-pupils-reading-writing-and-maths-res</w:t>
              </w:r>
            </w:hyperlink>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088D" w14:textId="3714B5FA" w:rsidR="004B3A94" w:rsidRPr="00EB41FF" w:rsidRDefault="00EB41FF">
            <w:pPr>
              <w:pStyle w:val="TableHeader"/>
              <w:jc w:val="left"/>
              <w:rPr>
                <w:b w:val="0"/>
                <w:bCs/>
              </w:rPr>
            </w:pPr>
            <w:r w:rsidRPr="00EB41FF">
              <w:rPr>
                <w:b w:val="0"/>
                <w:bCs/>
              </w:rPr>
              <w:t>1,2,3</w:t>
            </w:r>
          </w:p>
        </w:tc>
      </w:tr>
      <w:tr w:rsidR="002853F4" w14:paraId="10499BFB" w14:textId="77777777" w:rsidTr="00BF09FE">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129E7" w14:textId="12B6C2E8" w:rsidR="009337F3" w:rsidRPr="00194C4A" w:rsidRDefault="009337F3" w:rsidP="009337F3">
            <w:pPr>
              <w:pStyle w:val="TableRow"/>
              <w:rPr>
                <w:sz w:val="14"/>
                <w:szCs w:val="14"/>
              </w:rPr>
            </w:pPr>
            <w:r w:rsidRPr="00194C4A">
              <w:rPr>
                <w:sz w:val="14"/>
                <w:szCs w:val="14"/>
              </w:rPr>
              <w:t>Educational Welfare Officer</w:t>
            </w:r>
            <w:r w:rsidR="0035047D">
              <w:rPr>
                <w:sz w:val="14"/>
                <w:szCs w:val="14"/>
              </w:rPr>
              <w:t xml:space="preserve">, LA Attendance Champion </w:t>
            </w:r>
            <w:proofErr w:type="gramStart"/>
            <w:r w:rsidR="0035047D">
              <w:rPr>
                <w:sz w:val="14"/>
                <w:szCs w:val="14"/>
              </w:rPr>
              <w:t xml:space="preserve">and </w:t>
            </w:r>
            <w:r w:rsidRPr="00194C4A">
              <w:rPr>
                <w:sz w:val="14"/>
                <w:szCs w:val="14"/>
              </w:rPr>
              <w:t xml:space="preserve"> School</w:t>
            </w:r>
            <w:proofErr w:type="gramEnd"/>
            <w:r w:rsidRPr="00194C4A">
              <w:rPr>
                <w:sz w:val="14"/>
                <w:szCs w:val="14"/>
              </w:rPr>
              <w:t xml:space="preserve"> Attendance Lead</w:t>
            </w:r>
          </w:p>
          <w:p w14:paraId="5D166255" w14:textId="00E9EEF1" w:rsidR="009337F3" w:rsidRPr="00DF1A5F" w:rsidRDefault="009337F3" w:rsidP="009337F3">
            <w:pPr>
              <w:pStyle w:val="TableRow"/>
              <w:spacing w:line="259" w:lineRule="auto"/>
              <w:rPr>
                <w:sz w:val="20"/>
                <w:szCs w:val="20"/>
              </w:rPr>
            </w:pPr>
            <w:r w:rsidRPr="00194C4A">
              <w:rPr>
                <w:sz w:val="14"/>
                <w:szCs w:val="14"/>
              </w:rPr>
              <w:t>Funding for release time for attendance lead and EWO time once a week.</w:t>
            </w:r>
            <w:r w:rsidRPr="17A9D03E">
              <w:rPr>
                <w:i/>
                <w:iCs/>
                <w:sz w:val="22"/>
                <w:szCs w:val="22"/>
              </w:rPr>
              <w:t xml:space="preserve"> </w:t>
            </w:r>
          </w:p>
        </w:tc>
        <w:tc>
          <w:tcPr>
            <w:tcW w:w="1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FBD9" w14:textId="77777777" w:rsidR="002F0DBF" w:rsidRPr="00835987" w:rsidRDefault="002F0DBF" w:rsidP="009337F3">
            <w:pPr>
              <w:pStyle w:val="TableHeader"/>
              <w:jc w:val="left"/>
              <w:rPr>
                <w:b w:val="0"/>
                <w:bCs/>
                <w:sz w:val="14"/>
                <w:szCs w:val="14"/>
              </w:rPr>
            </w:pPr>
            <w:r w:rsidRPr="00835987">
              <w:rPr>
                <w:b w:val="0"/>
                <w:bCs/>
                <w:sz w:val="14"/>
                <w:szCs w:val="14"/>
              </w:rPr>
              <w:t xml:space="preserve">DFE’s ‘Working together to improve attendance’ document offers guidance for attendance that </w:t>
            </w:r>
          </w:p>
          <w:p w14:paraId="3EC7421A" w14:textId="46112B2B" w:rsidR="009337F3" w:rsidRPr="002F0DBF" w:rsidRDefault="002F0DBF" w:rsidP="009337F3">
            <w:pPr>
              <w:pStyle w:val="TableHeader"/>
              <w:jc w:val="left"/>
              <w:rPr>
                <w:sz w:val="20"/>
                <w:szCs w:val="20"/>
              </w:rPr>
            </w:pPr>
            <w:r w:rsidRPr="00835987">
              <w:rPr>
                <w:b w:val="0"/>
                <w:bCs/>
                <w:sz w:val="14"/>
                <w:szCs w:val="14"/>
              </w:rPr>
              <w:t>is implemented by the attendance lead alongside the EWO.</w:t>
            </w:r>
            <w:r w:rsidRPr="00BF09FE">
              <w:rPr>
                <w:sz w:val="14"/>
                <w:szCs w:val="14"/>
              </w:rPr>
              <w:t xml:space="preserve">  </w:t>
            </w:r>
            <w:hyperlink r:id="rId21">
              <w:r w:rsidRPr="00BF09FE">
                <w:rPr>
                  <w:rStyle w:val="Hyperlink"/>
                  <w:sz w:val="14"/>
                  <w:szCs w:val="14"/>
                </w:rPr>
                <w:t>https://assets.publishing.service.gov.uk/government/uploads/system/uploads/attachment_data/file/1099677/Working_together_to_improve_school_attendance.pdf</w:t>
              </w:r>
            </w:hyperlink>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B682" w14:textId="04D2BD2A" w:rsidR="009337F3" w:rsidRPr="00EB41FF" w:rsidRDefault="002F0DBF" w:rsidP="009337F3">
            <w:pPr>
              <w:pStyle w:val="TableHeader"/>
              <w:jc w:val="left"/>
              <w:rPr>
                <w:b w:val="0"/>
                <w:bCs/>
              </w:rPr>
            </w:pPr>
            <w:r>
              <w:rPr>
                <w:b w:val="0"/>
                <w:bCs/>
              </w:rPr>
              <w:t>4</w:t>
            </w:r>
          </w:p>
        </w:tc>
      </w:tr>
      <w:tr w:rsidR="00194C4A" w14:paraId="46EE5C10" w14:textId="77777777" w:rsidTr="00BF09FE">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BDC4" w14:textId="3E83452E" w:rsidR="00E60061" w:rsidRPr="00194C4A" w:rsidRDefault="00E60061" w:rsidP="00E60061">
            <w:pPr>
              <w:pStyle w:val="TableRow"/>
              <w:rPr>
                <w:sz w:val="14"/>
                <w:szCs w:val="14"/>
              </w:rPr>
            </w:pPr>
            <w:r w:rsidRPr="00194C4A">
              <w:rPr>
                <w:sz w:val="14"/>
                <w:szCs w:val="14"/>
              </w:rPr>
              <w:t>Subsidi</w:t>
            </w:r>
            <w:r w:rsidR="00A15208" w:rsidRPr="00194C4A">
              <w:rPr>
                <w:sz w:val="14"/>
                <w:szCs w:val="14"/>
              </w:rPr>
              <w:t>s</w:t>
            </w:r>
            <w:r w:rsidRPr="00194C4A">
              <w:rPr>
                <w:sz w:val="14"/>
                <w:szCs w:val="14"/>
              </w:rPr>
              <w:t xml:space="preserve">e trips for PP pupils </w:t>
            </w:r>
          </w:p>
          <w:p w14:paraId="006044AD" w14:textId="7931B79B" w:rsidR="002F0DBF" w:rsidRPr="00194C4A" w:rsidRDefault="00E60061" w:rsidP="00E60061">
            <w:pPr>
              <w:pStyle w:val="TableRow"/>
              <w:rPr>
                <w:sz w:val="14"/>
                <w:szCs w:val="14"/>
              </w:rPr>
            </w:pPr>
            <w:r w:rsidRPr="00194C4A">
              <w:rPr>
                <w:sz w:val="14"/>
                <w:szCs w:val="14"/>
              </w:rPr>
              <w:t>Support with funding cost of educational visits.</w:t>
            </w:r>
          </w:p>
        </w:tc>
        <w:tc>
          <w:tcPr>
            <w:tcW w:w="1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1C68" w14:textId="77777777" w:rsidR="0083500D" w:rsidRPr="00BF09FE" w:rsidRDefault="0083500D" w:rsidP="0083500D">
            <w:pPr>
              <w:pStyle w:val="TableRowCentered"/>
              <w:jc w:val="left"/>
              <w:rPr>
                <w:sz w:val="14"/>
                <w:szCs w:val="14"/>
              </w:rPr>
            </w:pPr>
            <w:r w:rsidRPr="00BF09FE">
              <w:rPr>
                <w:sz w:val="14"/>
                <w:szCs w:val="14"/>
              </w:rPr>
              <w:t xml:space="preserve">‘Council for Learning Outside of the Classroom’ outline a substantial body of evidence between learning in natural environments and health &amp; wellbeing benefits. </w:t>
            </w:r>
          </w:p>
          <w:p w14:paraId="08375800" w14:textId="2528B1E0" w:rsidR="002F0DBF" w:rsidRPr="002F0DBF" w:rsidRDefault="0083500D" w:rsidP="0083500D">
            <w:pPr>
              <w:pStyle w:val="TableHeader"/>
              <w:jc w:val="left"/>
              <w:rPr>
                <w:sz w:val="20"/>
                <w:szCs w:val="20"/>
              </w:rPr>
            </w:pPr>
            <w:hyperlink r:id="rId22">
              <w:r w:rsidRPr="00BF09FE">
                <w:rPr>
                  <w:rStyle w:val="Hyperlink"/>
                  <w:sz w:val="14"/>
                  <w:szCs w:val="14"/>
                </w:rPr>
                <w:t>https://www.lotc.org.uk/wp-content/uploads/2023/02/Summary-of-Evidence-LOtC-in-Natural-Environments-Nov-2022.pdf</w:t>
              </w:r>
            </w:hyperlink>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79F7D" w14:textId="6FC4F6F4" w:rsidR="002F0DBF" w:rsidRPr="00917600" w:rsidRDefault="0083500D" w:rsidP="009337F3">
            <w:pPr>
              <w:pStyle w:val="TableHeader"/>
              <w:jc w:val="left"/>
              <w:rPr>
                <w:b w:val="0"/>
                <w:bCs/>
                <w:sz w:val="20"/>
                <w:szCs w:val="20"/>
              </w:rPr>
            </w:pPr>
            <w:r w:rsidRPr="00917600">
              <w:rPr>
                <w:b w:val="0"/>
                <w:bCs/>
                <w:sz w:val="20"/>
                <w:szCs w:val="20"/>
              </w:rPr>
              <w:t>3,5</w:t>
            </w:r>
          </w:p>
        </w:tc>
      </w:tr>
      <w:tr w:rsidR="00A15208" w14:paraId="27A95B5C" w14:textId="77777777" w:rsidTr="00BF09FE">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5DF6E" w14:textId="125A297C" w:rsidR="00A15208" w:rsidRPr="00194C4A" w:rsidRDefault="00A8386F" w:rsidP="00E60061">
            <w:pPr>
              <w:pStyle w:val="TableRow"/>
              <w:rPr>
                <w:sz w:val="14"/>
                <w:szCs w:val="14"/>
              </w:rPr>
            </w:pPr>
            <w:r w:rsidRPr="00194C4A">
              <w:rPr>
                <w:sz w:val="14"/>
                <w:szCs w:val="14"/>
              </w:rPr>
              <w:t>EYFS and KS1 parent workshop for phonics.</w:t>
            </w:r>
          </w:p>
        </w:tc>
        <w:tc>
          <w:tcPr>
            <w:tcW w:w="1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FFEDE" w14:textId="77777777" w:rsidR="00A15208" w:rsidRPr="00BF09FE" w:rsidRDefault="00A8386F" w:rsidP="0083500D">
            <w:pPr>
              <w:pStyle w:val="TableRowCentered"/>
              <w:jc w:val="left"/>
              <w:rPr>
                <w:sz w:val="14"/>
                <w:szCs w:val="14"/>
              </w:rPr>
            </w:pPr>
            <w:r w:rsidRPr="00BF09FE">
              <w:rPr>
                <w:sz w:val="14"/>
                <w:szCs w:val="14"/>
              </w:rPr>
              <w:t>Phonics approaches have strong evidence base that indicates positive impact on the accuracy of word reading</w:t>
            </w:r>
            <w:r w:rsidR="003A2E19" w:rsidRPr="00BF09FE">
              <w:rPr>
                <w:sz w:val="14"/>
                <w:szCs w:val="14"/>
              </w:rPr>
              <w:t xml:space="preserve"> particularly for disadvantaged pupils.</w:t>
            </w:r>
          </w:p>
          <w:p w14:paraId="57F952F4" w14:textId="061EA048" w:rsidR="003A2E19" w:rsidRPr="0083500D" w:rsidRDefault="002C2B00" w:rsidP="0083500D">
            <w:pPr>
              <w:pStyle w:val="TableRowCentered"/>
              <w:jc w:val="left"/>
              <w:rPr>
                <w:sz w:val="20"/>
              </w:rPr>
            </w:pPr>
            <w:hyperlink r:id="rId23" w:history="1">
              <w:r w:rsidRPr="00835987">
                <w:rPr>
                  <w:rStyle w:val="Hyperlink"/>
                  <w:b/>
                  <w:bCs/>
                  <w:sz w:val="14"/>
                  <w:szCs w:val="14"/>
                </w:rPr>
                <w:t>Phonics | EEF (educationendowmentfoundation.org.uk)</w:t>
              </w:r>
            </w:hyperlink>
            <w:r w:rsidRPr="00BF09FE">
              <w:rPr>
                <w:sz w:val="14"/>
                <w:szCs w:val="14"/>
              </w:rPr>
              <w:t xml:space="preserve"> (+5months)</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04C3C" w14:textId="36497FBB" w:rsidR="00A15208" w:rsidRPr="00917600" w:rsidRDefault="00917600" w:rsidP="009337F3">
            <w:pPr>
              <w:pStyle w:val="TableHeader"/>
              <w:jc w:val="left"/>
              <w:rPr>
                <w:b w:val="0"/>
                <w:bCs/>
                <w:sz w:val="20"/>
                <w:szCs w:val="20"/>
              </w:rPr>
            </w:pPr>
            <w:r w:rsidRPr="00917600">
              <w:rPr>
                <w:b w:val="0"/>
                <w:bCs/>
                <w:sz w:val="20"/>
                <w:szCs w:val="20"/>
              </w:rPr>
              <w:t>4</w:t>
            </w:r>
          </w:p>
        </w:tc>
      </w:tr>
      <w:tr w:rsidR="00835987" w14:paraId="7CC4B40C" w14:textId="77777777" w:rsidTr="00BF09FE">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D79D0" w14:textId="6B51AD58" w:rsidR="00835987" w:rsidRPr="00194C4A" w:rsidRDefault="008D04BF" w:rsidP="00E60061">
            <w:pPr>
              <w:pStyle w:val="TableRow"/>
              <w:rPr>
                <w:sz w:val="14"/>
                <w:szCs w:val="14"/>
              </w:rPr>
            </w:pPr>
            <w:r>
              <w:rPr>
                <w:sz w:val="14"/>
                <w:szCs w:val="14"/>
              </w:rPr>
              <w:t xml:space="preserve">Reflexions partnership supporting </w:t>
            </w:r>
            <w:r>
              <w:rPr>
                <w:sz w:val="14"/>
                <w:szCs w:val="14"/>
              </w:rPr>
              <w:lastRenderedPageBreak/>
              <w:t xml:space="preserve">whole school and </w:t>
            </w:r>
            <w:r w:rsidR="000E09AB">
              <w:rPr>
                <w:sz w:val="14"/>
                <w:szCs w:val="14"/>
              </w:rPr>
              <w:t xml:space="preserve">1:1 </w:t>
            </w:r>
            <w:proofErr w:type="gramStart"/>
            <w:r w:rsidR="000E09AB">
              <w:rPr>
                <w:sz w:val="14"/>
                <w:szCs w:val="14"/>
              </w:rPr>
              <w:t>sessions</w:t>
            </w:r>
            <w:proofErr w:type="gramEnd"/>
            <w:r w:rsidR="000E09AB">
              <w:rPr>
                <w:sz w:val="14"/>
                <w:szCs w:val="14"/>
              </w:rPr>
              <w:t xml:space="preserve"> for mental health and well-being. </w:t>
            </w:r>
          </w:p>
        </w:tc>
        <w:tc>
          <w:tcPr>
            <w:tcW w:w="1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F5C20" w14:textId="52C1D10D" w:rsidR="00421F36" w:rsidRDefault="00421F36" w:rsidP="0083500D">
            <w:pPr>
              <w:pStyle w:val="TableRowCentered"/>
              <w:jc w:val="left"/>
              <w:rPr>
                <w:sz w:val="14"/>
                <w:szCs w:val="14"/>
              </w:rPr>
            </w:pPr>
            <w:r w:rsidRPr="00421F36">
              <w:rPr>
                <w:sz w:val="14"/>
                <w:szCs w:val="14"/>
              </w:rPr>
              <w:lastRenderedPageBreak/>
              <w:t xml:space="preserve">Evidence suggests that children from disadvantaged backgrounds </w:t>
            </w:r>
            <w:proofErr w:type="gramStart"/>
            <w:r w:rsidRPr="00421F36">
              <w:rPr>
                <w:sz w:val="14"/>
                <w:szCs w:val="14"/>
              </w:rPr>
              <w:t>have,</w:t>
            </w:r>
            <w:proofErr w:type="gramEnd"/>
            <w:r w:rsidRPr="00421F36">
              <w:rPr>
                <w:sz w:val="14"/>
                <w:szCs w:val="14"/>
              </w:rPr>
              <w:t xml:space="preserve"> on average, weaker Social and Emotional Learning skills at all ages than their more affluent peers. EEF Toolkit shows that Targeted Interventions can be up to 6 months progress</w:t>
            </w:r>
            <w:r w:rsidR="00D87CFA">
              <w:rPr>
                <w:sz w:val="14"/>
                <w:szCs w:val="14"/>
              </w:rPr>
              <w:t>.</w:t>
            </w:r>
          </w:p>
          <w:p w14:paraId="1E06CF05" w14:textId="63A6462F" w:rsidR="00835987" w:rsidRPr="00D87CFA" w:rsidRDefault="00421F36" w:rsidP="0083500D">
            <w:pPr>
              <w:pStyle w:val="TableRowCentered"/>
              <w:jc w:val="left"/>
              <w:rPr>
                <w:b/>
                <w:bCs/>
                <w:sz w:val="14"/>
                <w:szCs w:val="14"/>
              </w:rPr>
            </w:pPr>
            <w:hyperlink r:id="rId24" w:anchor="nav-applications-and-approaches" w:history="1">
              <w:r w:rsidRPr="00D87CFA">
                <w:rPr>
                  <w:rStyle w:val="Hyperlink"/>
                  <w:b/>
                  <w:bCs/>
                  <w:sz w:val="14"/>
                  <w:szCs w:val="14"/>
                </w:rPr>
                <w:t>Social and emotional learning | EEF (educationendowmentfoundation.org.uk)</w:t>
              </w:r>
            </w:hyperlink>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0BDF9" w14:textId="170DBBF1" w:rsidR="00835987" w:rsidRPr="00917600" w:rsidRDefault="007A0219" w:rsidP="009337F3">
            <w:pPr>
              <w:pStyle w:val="TableHeader"/>
              <w:jc w:val="left"/>
              <w:rPr>
                <w:b w:val="0"/>
                <w:bCs/>
                <w:sz w:val="20"/>
                <w:szCs w:val="20"/>
              </w:rPr>
            </w:pPr>
            <w:r>
              <w:rPr>
                <w:b w:val="0"/>
                <w:bCs/>
                <w:sz w:val="20"/>
                <w:szCs w:val="20"/>
              </w:rPr>
              <w:t>3</w:t>
            </w:r>
          </w:p>
        </w:tc>
      </w:tr>
      <w:tr w:rsidR="00835987" w14:paraId="292D4C5B" w14:textId="77777777" w:rsidTr="00BF09FE">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FFCC3" w14:textId="010A1449" w:rsidR="00835987" w:rsidRPr="00194C4A" w:rsidRDefault="005348DD" w:rsidP="00E60061">
            <w:pPr>
              <w:pStyle w:val="TableRow"/>
              <w:rPr>
                <w:sz w:val="14"/>
                <w:szCs w:val="14"/>
              </w:rPr>
            </w:pPr>
            <w:r>
              <w:rPr>
                <w:sz w:val="14"/>
                <w:szCs w:val="14"/>
              </w:rPr>
              <w:t>Senior leaders</w:t>
            </w:r>
            <w:r w:rsidR="002C5107">
              <w:rPr>
                <w:sz w:val="14"/>
                <w:szCs w:val="14"/>
              </w:rPr>
              <w:t xml:space="preserve">, </w:t>
            </w:r>
            <w:proofErr w:type="spellStart"/>
            <w:r w:rsidR="002C5107">
              <w:rPr>
                <w:sz w:val="14"/>
                <w:szCs w:val="14"/>
              </w:rPr>
              <w:t>PSHEe</w:t>
            </w:r>
            <w:proofErr w:type="spellEnd"/>
            <w:r w:rsidR="002C5107">
              <w:rPr>
                <w:sz w:val="14"/>
                <w:szCs w:val="14"/>
              </w:rPr>
              <w:t xml:space="preserve"> leader and school nurses</w:t>
            </w:r>
            <w:r w:rsidR="000D4E23">
              <w:rPr>
                <w:sz w:val="14"/>
                <w:szCs w:val="14"/>
              </w:rPr>
              <w:t xml:space="preserve"> to meet to refine and evolve</w:t>
            </w:r>
            <w:r w:rsidR="00160FBB">
              <w:rPr>
                <w:sz w:val="14"/>
                <w:szCs w:val="14"/>
              </w:rPr>
              <w:t xml:space="preserve"> curriculum. </w:t>
            </w:r>
          </w:p>
        </w:tc>
        <w:tc>
          <w:tcPr>
            <w:tcW w:w="1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B694" w14:textId="7EE9145D" w:rsidR="00835987" w:rsidRPr="00BF09FE" w:rsidRDefault="00421F36" w:rsidP="0083500D">
            <w:pPr>
              <w:pStyle w:val="TableRowCentered"/>
              <w:jc w:val="left"/>
              <w:rPr>
                <w:sz w:val="14"/>
                <w:szCs w:val="14"/>
              </w:rPr>
            </w:pPr>
            <w:r>
              <w:rPr>
                <w:sz w:val="14"/>
                <w:szCs w:val="14"/>
              </w:rPr>
              <w:t>As above</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941C8" w14:textId="04EFC700" w:rsidR="00835987" w:rsidRPr="00917600" w:rsidRDefault="007A0219" w:rsidP="009337F3">
            <w:pPr>
              <w:pStyle w:val="TableHeader"/>
              <w:jc w:val="left"/>
              <w:rPr>
                <w:b w:val="0"/>
                <w:bCs/>
                <w:sz w:val="20"/>
                <w:szCs w:val="20"/>
              </w:rPr>
            </w:pPr>
            <w:r>
              <w:rPr>
                <w:b w:val="0"/>
                <w:bCs/>
                <w:sz w:val="20"/>
                <w:szCs w:val="20"/>
              </w:rPr>
              <w:t>3</w:t>
            </w:r>
          </w:p>
        </w:tc>
      </w:tr>
      <w:tr w:rsidR="00835987" w14:paraId="2F6A6A8B" w14:textId="77777777" w:rsidTr="00BF09FE">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DDE52" w14:textId="38F678E1" w:rsidR="00835987" w:rsidRPr="00194C4A" w:rsidRDefault="00160FBB" w:rsidP="00E60061">
            <w:pPr>
              <w:pStyle w:val="TableRow"/>
              <w:rPr>
                <w:sz w:val="14"/>
                <w:szCs w:val="14"/>
              </w:rPr>
            </w:pPr>
            <w:r>
              <w:rPr>
                <w:sz w:val="14"/>
                <w:szCs w:val="14"/>
              </w:rPr>
              <w:t>Extra-curricular opportunities</w:t>
            </w:r>
            <w:r w:rsidR="00E22CFD">
              <w:rPr>
                <w:sz w:val="14"/>
                <w:szCs w:val="14"/>
              </w:rPr>
              <w:t xml:space="preserve"> (included after school clubs)</w:t>
            </w:r>
            <w:r>
              <w:rPr>
                <w:sz w:val="14"/>
                <w:szCs w:val="14"/>
              </w:rPr>
              <w:t xml:space="preserve"> </w:t>
            </w:r>
            <w:r w:rsidR="00B248B2">
              <w:rPr>
                <w:sz w:val="14"/>
                <w:szCs w:val="14"/>
              </w:rPr>
              <w:t xml:space="preserve">planned across the year to provide access to all visits and experiences. </w:t>
            </w:r>
          </w:p>
        </w:tc>
        <w:tc>
          <w:tcPr>
            <w:tcW w:w="1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6DE9C" w14:textId="4FA396D0" w:rsidR="00835987" w:rsidRPr="00BF09FE" w:rsidRDefault="00421F36" w:rsidP="0083500D">
            <w:pPr>
              <w:pStyle w:val="TableRowCentered"/>
              <w:jc w:val="left"/>
              <w:rPr>
                <w:sz w:val="14"/>
                <w:szCs w:val="14"/>
              </w:rPr>
            </w:pPr>
            <w:r>
              <w:rPr>
                <w:sz w:val="14"/>
                <w:szCs w:val="14"/>
              </w:rPr>
              <w:t xml:space="preserve">As above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D306" w14:textId="45922FC4" w:rsidR="00835987" w:rsidRPr="00917600" w:rsidRDefault="007A0219" w:rsidP="009337F3">
            <w:pPr>
              <w:pStyle w:val="TableHeader"/>
              <w:jc w:val="left"/>
              <w:rPr>
                <w:b w:val="0"/>
                <w:bCs/>
                <w:sz w:val="20"/>
                <w:szCs w:val="20"/>
              </w:rPr>
            </w:pPr>
            <w:r>
              <w:rPr>
                <w:b w:val="0"/>
                <w:bCs/>
                <w:sz w:val="20"/>
                <w:szCs w:val="20"/>
              </w:rPr>
              <w:t>1,2,3</w:t>
            </w:r>
          </w:p>
        </w:tc>
      </w:tr>
      <w:tr w:rsidR="00421F36" w14:paraId="353CFFD0" w14:textId="77777777" w:rsidTr="00BF09FE">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8B6EA" w14:textId="2CC3EAEA" w:rsidR="00421F36" w:rsidRDefault="004A63C6" w:rsidP="00E60061">
            <w:pPr>
              <w:pStyle w:val="TableRow"/>
              <w:rPr>
                <w:sz w:val="14"/>
                <w:szCs w:val="14"/>
              </w:rPr>
            </w:pPr>
            <w:r>
              <w:rPr>
                <w:sz w:val="14"/>
                <w:szCs w:val="14"/>
              </w:rPr>
              <w:t>Home visits and information gathering on new pupils through updated welcome packs, parent meeting</w:t>
            </w:r>
            <w:r w:rsidR="00925C53">
              <w:rPr>
                <w:sz w:val="14"/>
                <w:szCs w:val="14"/>
              </w:rPr>
              <w:t xml:space="preserve">s, stay and play, open mornings and SEND early support meetings. </w:t>
            </w:r>
          </w:p>
        </w:tc>
        <w:tc>
          <w:tcPr>
            <w:tcW w:w="1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80827" w14:textId="77777777" w:rsidR="00701094" w:rsidRPr="00701094" w:rsidRDefault="00701094" w:rsidP="00701094">
            <w:pPr>
              <w:pStyle w:val="TableRowCentered"/>
              <w:jc w:val="left"/>
              <w:rPr>
                <w:sz w:val="14"/>
                <w:szCs w:val="14"/>
              </w:rPr>
            </w:pPr>
            <w:r w:rsidRPr="00701094">
              <w:rPr>
                <w:sz w:val="14"/>
                <w:szCs w:val="14"/>
              </w:rPr>
              <w:t>Parental engagement has a positive impact on average of 4 months’ additional progress. It is crucial to consider how to engage with all parents to avoid widening attainment gaps.</w:t>
            </w:r>
          </w:p>
          <w:p w14:paraId="55DE2073" w14:textId="511D778A" w:rsidR="00421F36" w:rsidRDefault="00701094" w:rsidP="00701094">
            <w:pPr>
              <w:pStyle w:val="TableRowCentered"/>
              <w:jc w:val="left"/>
              <w:rPr>
                <w:sz w:val="14"/>
                <w:szCs w:val="14"/>
              </w:rPr>
            </w:pPr>
            <w:hyperlink r:id="rId25" w:history="1">
              <w:r w:rsidRPr="00701094">
                <w:rPr>
                  <w:color w:val="0000FF"/>
                  <w:sz w:val="14"/>
                  <w:szCs w:val="14"/>
                  <w:u w:val="single"/>
                </w:rPr>
                <w:t>Parental engagement | EEF (educationendowmentfoundation.org.uk)</w:t>
              </w:r>
            </w:hyperlink>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FB5C4" w14:textId="26FDA062" w:rsidR="00421F36" w:rsidRDefault="00701094" w:rsidP="009337F3">
            <w:pPr>
              <w:pStyle w:val="TableHeader"/>
              <w:jc w:val="left"/>
              <w:rPr>
                <w:b w:val="0"/>
                <w:bCs/>
                <w:sz w:val="20"/>
                <w:szCs w:val="20"/>
              </w:rPr>
            </w:pPr>
            <w:r>
              <w:rPr>
                <w:b w:val="0"/>
                <w:bCs/>
                <w:sz w:val="20"/>
                <w:szCs w:val="20"/>
              </w:rPr>
              <w:t>4</w:t>
            </w:r>
          </w:p>
        </w:tc>
      </w:tr>
      <w:tr w:rsidR="00925C53" w14:paraId="6BC353EC" w14:textId="77777777" w:rsidTr="00BF09FE">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533CE" w14:textId="4EC7207A" w:rsidR="00925C53" w:rsidRDefault="001B6C00" w:rsidP="00E60061">
            <w:pPr>
              <w:pStyle w:val="TableRow"/>
              <w:rPr>
                <w:sz w:val="14"/>
                <w:szCs w:val="14"/>
              </w:rPr>
            </w:pPr>
            <w:r>
              <w:rPr>
                <w:sz w:val="14"/>
                <w:szCs w:val="14"/>
              </w:rPr>
              <w:t xml:space="preserve">Regular parent meetings to discuss progress, well-being, and behaviour. </w:t>
            </w:r>
          </w:p>
        </w:tc>
        <w:tc>
          <w:tcPr>
            <w:tcW w:w="1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1236D" w14:textId="40DBB00B" w:rsidR="00925C53" w:rsidRPr="00701094" w:rsidRDefault="001B6C00" w:rsidP="00701094">
            <w:pPr>
              <w:pStyle w:val="TableRowCentered"/>
              <w:jc w:val="left"/>
              <w:rPr>
                <w:sz w:val="14"/>
                <w:szCs w:val="14"/>
              </w:rPr>
            </w:pPr>
            <w:r>
              <w:rPr>
                <w:sz w:val="14"/>
                <w:szCs w:val="14"/>
              </w:rPr>
              <w:t xml:space="preserve">As above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F246" w14:textId="3508B432" w:rsidR="00925C53" w:rsidRDefault="001B6C00" w:rsidP="009337F3">
            <w:pPr>
              <w:pStyle w:val="TableHeader"/>
              <w:jc w:val="left"/>
              <w:rPr>
                <w:b w:val="0"/>
                <w:bCs/>
                <w:sz w:val="20"/>
                <w:szCs w:val="20"/>
              </w:rPr>
            </w:pPr>
            <w:r>
              <w:rPr>
                <w:b w:val="0"/>
                <w:bCs/>
                <w:sz w:val="20"/>
                <w:szCs w:val="20"/>
              </w:rPr>
              <w:t>4</w:t>
            </w:r>
          </w:p>
        </w:tc>
      </w:tr>
    </w:tbl>
    <w:bookmarkEnd w:id="14"/>
    <w:bookmarkEnd w:id="15"/>
    <w:bookmarkEnd w:id="16"/>
    <w:p w14:paraId="602B14D8" w14:textId="7A66DDF4" w:rsidR="00406001" w:rsidRDefault="00406001" w:rsidP="00406001">
      <w:pPr>
        <w:pStyle w:val="Heading1"/>
      </w:pPr>
      <w:r>
        <w:lastRenderedPageBreak/>
        <w:t>Part B: Review of outcomes in the previous academic year</w:t>
      </w:r>
    </w:p>
    <w:p w14:paraId="6FCB8E83" w14:textId="77777777" w:rsidR="00406001" w:rsidRDefault="00406001" w:rsidP="00406001">
      <w:pPr>
        <w:pStyle w:val="Heading2"/>
      </w:pPr>
      <w:r>
        <w:t>Pupil premium strategy outcomes</w:t>
      </w:r>
    </w:p>
    <w:p w14:paraId="6F2734F1" w14:textId="72753A01" w:rsidR="00406001" w:rsidRDefault="00406001" w:rsidP="00406001">
      <w:r>
        <w:t>This details the impact that our pupil premium activity had on pupils in the 202</w:t>
      </w:r>
      <w:r w:rsidR="00B475FC">
        <w:t>3</w:t>
      </w:r>
      <w:r>
        <w:t xml:space="preserve"> to 202</w:t>
      </w:r>
      <w:r w:rsidR="00B475FC">
        <w:t>4</w:t>
      </w:r>
      <w:r>
        <w:t xml:space="preserve"> academic year. </w:t>
      </w:r>
      <w:r w:rsidR="00C94046">
        <w:t xml:space="preserve"> Included within the outcomes is evaluation from 2024</w:t>
      </w:r>
      <w:r w:rsidR="004568D2">
        <w:t>-25</w:t>
      </w:r>
      <w:r w:rsidR="00062C84">
        <w:t xml:space="preserve"> academic year. </w:t>
      </w:r>
    </w:p>
    <w:tbl>
      <w:tblPr>
        <w:tblW w:w="14312" w:type="dxa"/>
        <w:tblCellMar>
          <w:left w:w="10" w:type="dxa"/>
          <w:right w:w="10" w:type="dxa"/>
        </w:tblCellMar>
        <w:tblLook w:val="04A0" w:firstRow="1" w:lastRow="0" w:firstColumn="1" w:lastColumn="0" w:noHBand="0" w:noVBand="1"/>
      </w:tblPr>
      <w:tblGrid>
        <w:gridCol w:w="14312"/>
      </w:tblGrid>
      <w:tr w:rsidR="00406001" w14:paraId="00810695" w14:textId="77777777" w:rsidTr="00406001">
        <w:trPr>
          <w:trHeight w:val="1102"/>
        </w:trPr>
        <w:tc>
          <w:tcPr>
            <w:tcW w:w="14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73B95" w14:textId="2D53216B" w:rsidR="006D4775" w:rsidRPr="00C13B3B" w:rsidRDefault="006D4775" w:rsidP="00322998">
            <w:pPr>
              <w:rPr>
                <w:rFonts w:cs="Arial"/>
                <w:bCs/>
                <w:iCs/>
                <w:sz w:val="20"/>
                <w:szCs w:val="20"/>
              </w:rPr>
            </w:pPr>
            <w:r w:rsidRPr="00C13B3B">
              <w:rPr>
                <w:rFonts w:cs="Arial"/>
                <w:bCs/>
                <w:iCs/>
                <w:sz w:val="20"/>
                <w:szCs w:val="20"/>
              </w:rPr>
              <w:t xml:space="preserve">During the academic year 2023-24, Palmers Cross has made good progress towards </w:t>
            </w:r>
            <w:r w:rsidR="00B475FC" w:rsidRPr="00C13B3B">
              <w:rPr>
                <w:rFonts w:cs="Arial"/>
                <w:bCs/>
                <w:iCs/>
                <w:sz w:val="20"/>
                <w:szCs w:val="20"/>
              </w:rPr>
              <w:t>its objectives set out in the three-year PP strategy</w:t>
            </w:r>
            <w:r w:rsidR="00C13B3B" w:rsidRPr="00C13B3B">
              <w:rPr>
                <w:rFonts w:cs="Arial"/>
                <w:bCs/>
                <w:iCs/>
                <w:sz w:val="20"/>
                <w:szCs w:val="20"/>
              </w:rPr>
              <w:t xml:space="preserve"> plan. </w:t>
            </w:r>
          </w:p>
          <w:p w14:paraId="521C2311" w14:textId="5139E7A3" w:rsidR="00C13B3B" w:rsidRDefault="00C13B3B" w:rsidP="00322998">
            <w:pPr>
              <w:rPr>
                <w:rFonts w:cs="Arial"/>
                <w:bCs/>
                <w:iCs/>
                <w:sz w:val="20"/>
                <w:szCs w:val="20"/>
              </w:rPr>
            </w:pPr>
            <w:r w:rsidRPr="00C13B3B">
              <w:rPr>
                <w:rFonts w:cs="Arial"/>
                <w:bCs/>
                <w:iCs/>
                <w:sz w:val="20"/>
                <w:szCs w:val="20"/>
              </w:rPr>
              <w:t>The 5 key challenges identified were and remain:</w:t>
            </w:r>
          </w:p>
          <w:p w14:paraId="475CABD7" w14:textId="77777777" w:rsidR="006A3D28" w:rsidRPr="00591E53" w:rsidRDefault="00A66460" w:rsidP="006A3D28">
            <w:pPr>
              <w:pStyle w:val="TableRowCentered"/>
              <w:numPr>
                <w:ilvl w:val="0"/>
                <w:numId w:val="26"/>
              </w:numPr>
              <w:jc w:val="left"/>
              <w:rPr>
                <w:sz w:val="20"/>
              </w:rPr>
            </w:pPr>
            <w:r w:rsidRPr="00591E53">
              <w:rPr>
                <w:sz w:val="20"/>
              </w:rPr>
              <w:t xml:space="preserve">Oral and speaking skills of pupils in Early Years are below age-related expectations. </w:t>
            </w:r>
          </w:p>
          <w:p w14:paraId="51FCB094" w14:textId="77777777" w:rsidR="00A21334" w:rsidRPr="00591E53" w:rsidRDefault="00DC4C0A" w:rsidP="00A21334">
            <w:pPr>
              <w:pStyle w:val="TableRowCentered"/>
              <w:numPr>
                <w:ilvl w:val="0"/>
                <w:numId w:val="26"/>
              </w:numPr>
              <w:jc w:val="left"/>
              <w:rPr>
                <w:sz w:val="20"/>
              </w:rPr>
            </w:pPr>
            <w:r w:rsidRPr="00591E53">
              <w:rPr>
                <w:iCs/>
                <w:sz w:val="20"/>
              </w:rPr>
              <w:t>Narrowing the attainment gap across reading, writing and maths.</w:t>
            </w:r>
          </w:p>
          <w:p w14:paraId="539953B6" w14:textId="77777777" w:rsidR="00CB63E2" w:rsidRPr="00591E53" w:rsidRDefault="00A21334" w:rsidP="00CB63E2">
            <w:pPr>
              <w:pStyle w:val="TableRowCentered"/>
              <w:numPr>
                <w:ilvl w:val="0"/>
                <w:numId w:val="26"/>
              </w:numPr>
              <w:jc w:val="left"/>
              <w:rPr>
                <w:sz w:val="20"/>
              </w:rPr>
            </w:pPr>
            <w:r w:rsidRPr="00591E53">
              <w:rPr>
                <w:sz w:val="20"/>
              </w:rPr>
              <w:t xml:space="preserve">Attendance and punctuality are not always seen as a high priority. </w:t>
            </w:r>
          </w:p>
          <w:p w14:paraId="449F3A83" w14:textId="77777777" w:rsidR="00B85627" w:rsidRPr="00591E53" w:rsidRDefault="00CB63E2" w:rsidP="00B85627">
            <w:pPr>
              <w:pStyle w:val="TableRowCentered"/>
              <w:numPr>
                <w:ilvl w:val="0"/>
                <w:numId w:val="26"/>
              </w:numPr>
              <w:jc w:val="left"/>
              <w:rPr>
                <w:sz w:val="20"/>
              </w:rPr>
            </w:pPr>
            <w:r w:rsidRPr="00591E53">
              <w:rPr>
                <w:iCs/>
                <w:sz w:val="20"/>
              </w:rPr>
              <w:t xml:space="preserve">An increasing percentage of pupils need additional social, emotional and behavioural support. </w:t>
            </w:r>
          </w:p>
          <w:p w14:paraId="5F3C13B9" w14:textId="2DC8C39D" w:rsidR="00C13B3B" w:rsidRPr="00591E53" w:rsidRDefault="00B85627" w:rsidP="00322998">
            <w:pPr>
              <w:pStyle w:val="TableRowCentered"/>
              <w:numPr>
                <w:ilvl w:val="0"/>
                <w:numId w:val="26"/>
              </w:numPr>
              <w:jc w:val="left"/>
              <w:rPr>
                <w:sz w:val="20"/>
              </w:rPr>
            </w:pPr>
            <w:r w:rsidRPr="00591E53">
              <w:rPr>
                <w:iCs/>
                <w:sz w:val="20"/>
              </w:rPr>
              <w:t xml:space="preserve">Pupils receive limited opportunities outside of the school environment that will improve their wider understanding and cultural capital.  </w:t>
            </w:r>
          </w:p>
          <w:p w14:paraId="0060B60D" w14:textId="77777777" w:rsidR="00B85627" w:rsidRPr="00B85627" w:rsidRDefault="00B85627" w:rsidP="00591E53">
            <w:pPr>
              <w:pStyle w:val="TableRowCentered"/>
              <w:ind w:left="777"/>
              <w:jc w:val="left"/>
              <w:rPr>
                <w:b/>
                <w:bCs/>
                <w:sz w:val="20"/>
              </w:rPr>
            </w:pPr>
          </w:p>
          <w:p w14:paraId="379E7E9B" w14:textId="77777777" w:rsidR="005537E7" w:rsidRDefault="005537E7" w:rsidP="00FA4BEF">
            <w:pPr>
              <w:pStyle w:val="TableRowCentered"/>
              <w:ind w:left="0"/>
              <w:jc w:val="left"/>
              <w:rPr>
                <w:b/>
                <w:bCs/>
                <w:sz w:val="20"/>
              </w:rPr>
            </w:pPr>
            <w:r w:rsidRPr="00710775">
              <w:rPr>
                <w:b/>
                <w:bCs/>
                <w:sz w:val="20"/>
              </w:rPr>
              <w:t xml:space="preserve">Oral and speaking skills of pupils in Early Years are below age-related expectations. </w:t>
            </w:r>
          </w:p>
          <w:p w14:paraId="42DFC4A2" w14:textId="77777777" w:rsidR="00FA4BEF" w:rsidRDefault="0051044E" w:rsidP="00FA4BEF">
            <w:pPr>
              <w:pStyle w:val="TableRowCentered"/>
              <w:ind w:left="0"/>
              <w:jc w:val="left"/>
              <w:rPr>
                <w:sz w:val="20"/>
              </w:rPr>
            </w:pPr>
            <w:r w:rsidRPr="00557548">
              <w:rPr>
                <w:sz w:val="20"/>
              </w:rPr>
              <w:t xml:space="preserve">Over 2023-24, </w:t>
            </w:r>
            <w:r w:rsidR="00DB7150" w:rsidRPr="00557548">
              <w:rPr>
                <w:sz w:val="20"/>
              </w:rPr>
              <w:t xml:space="preserve">the early years team </w:t>
            </w:r>
            <w:r w:rsidR="00750DDE" w:rsidRPr="00557548">
              <w:rPr>
                <w:sz w:val="20"/>
              </w:rPr>
              <w:t xml:space="preserve">implemented key </w:t>
            </w:r>
            <w:r w:rsidR="00267276" w:rsidRPr="00557548">
              <w:rPr>
                <w:sz w:val="20"/>
              </w:rPr>
              <w:t xml:space="preserve">strategies to increase the progress on oral and speaking skills from baseline results. </w:t>
            </w:r>
            <w:r w:rsidR="00172299">
              <w:rPr>
                <w:sz w:val="20"/>
              </w:rPr>
              <w:t xml:space="preserve"> Strategies</w:t>
            </w:r>
          </w:p>
          <w:p w14:paraId="656236A9" w14:textId="77777777" w:rsidR="001D33C5" w:rsidRDefault="00172299" w:rsidP="00FA4BEF">
            <w:pPr>
              <w:pStyle w:val="TableRowCentered"/>
              <w:ind w:left="0"/>
              <w:jc w:val="left"/>
              <w:rPr>
                <w:sz w:val="20"/>
              </w:rPr>
            </w:pPr>
            <w:r>
              <w:rPr>
                <w:sz w:val="20"/>
              </w:rPr>
              <w:t xml:space="preserve">included: interventions, in class support, </w:t>
            </w:r>
            <w:r w:rsidR="001A3A79">
              <w:rPr>
                <w:sz w:val="20"/>
              </w:rPr>
              <w:t>HLTA / TA 1:1 support with rehearsing skills.</w:t>
            </w:r>
            <w:r w:rsidR="001D33C5">
              <w:rPr>
                <w:sz w:val="20"/>
              </w:rPr>
              <w:t xml:space="preserve"> </w:t>
            </w:r>
          </w:p>
          <w:p w14:paraId="1EBC010A" w14:textId="0E4E1AAE" w:rsidR="0051044E" w:rsidRDefault="001A3A79" w:rsidP="00FA4BEF">
            <w:pPr>
              <w:pStyle w:val="TableRowCentered"/>
              <w:ind w:left="0"/>
              <w:jc w:val="left"/>
              <w:rPr>
                <w:sz w:val="20"/>
              </w:rPr>
            </w:pPr>
            <w:r>
              <w:rPr>
                <w:sz w:val="20"/>
              </w:rPr>
              <w:t xml:space="preserve"> </w:t>
            </w:r>
          </w:p>
          <w:p w14:paraId="0539E3F1" w14:textId="717447C4" w:rsidR="003A31C2" w:rsidRPr="008C5D12" w:rsidRDefault="008C5D12" w:rsidP="00FA4BEF">
            <w:pPr>
              <w:pStyle w:val="TableRowCentered"/>
              <w:ind w:left="0"/>
              <w:jc w:val="left"/>
              <w:rPr>
                <w:sz w:val="20"/>
              </w:rPr>
            </w:pPr>
            <w:r>
              <w:rPr>
                <w:b/>
                <w:bCs/>
                <w:sz w:val="20"/>
              </w:rPr>
              <w:t>2023-2024 data highlighted that in l</w:t>
            </w:r>
            <w:r w:rsidR="007E0F91">
              <w:rPr>
                <w:b/>
                <w:bCs/>
                <w:sz w:val="20"/>
              </w:rPr>
              <w:t xml:space="preserve">istening and understanding – </w:t>
            </w:r>
            <w:r w:rsidR="007B4F4E" w:rsidRPr="007B4F4E">
              <w:rPr>
                <w:sz w:val="20"/>
              </w:rPr>
              <w:t>83</w:t>
            </w:r>
            <w:r w:rsidR="007E0F91" w:rsidRPr="00322998">
              <w:rPr>
                <w:rFonts w:cs="Arial"/>
                <w:sz w:val="20"/>
              </w:rPr>
              <w:t xml:space="preserve">% of PP pupils achieved 4-5 Secure in reading compared to </w:t>
            </w:r>
            <w:r w:rsidR="007B4F4E">
              <w:rPr>
                <w:rFonts w:cs="Arial"/>
                <w:sz w:val="20"/>
              </w:rPr>
              <w:t>91</w:t>
            </w:r>
            <w:r w:rsidR="007E0F91" w:rsidRPr="00322998">
              <w:rPr>
                <w:rFonts w:cs="Arial"/>
                <w:sz w:val="20"/>
              </w:rPr>
              <w:t xml:space="preserve">% </w:t>
            </w:r>
            <w:r w:rsidR="00F674A1" w:rsidRPr="00322998">
              <w:rPr>
                <w:rFonts w:cs="Arial"/>
                <w:sz w:val="20"/>
              </w:rPr>
              <w:t>non-PP</w:t>
            </w:r>
            <w:r w:rsidR="007E0F91" w:rsidRPr="00322998">
              <w:rPr>
                <w:rFonts w:cs="Arial"/>
                <w:sz w:val="20"/>
              </w:rPr>
              <w:t xml:space="preserve"> pupils.</w:t>
            </w:r>
          </w:p>
          <w:p w14:paraId="6451549A" w14:textId="52446FF8" w:rsidR="007E0F91" w:rsidRDefault="007E0F91" w:rsidP="00FA4BEF">
            <w:pPr>
              <w:pStyle w:val="TableRowCentered"/>
              <w:ind w:left="0"/>
              <w:jc w:val="left"/>
              <w:rPr>
                <w:rFonts w:cs="Arial"/>
                <w:sz w:val="20"/>
              </w:rPr>
            </w:pPr>
            <w:r>
              <w:rPr>
                <w:b/>
                <w:bCs/>
                <w:sz w:val="20"/>
              </w:rPr>
              <w:t xml:space="preserve">Speaking - </w:t>
            </w:r>
            <w:r w:rsidR="00D32BF4" w:rsidRPr="00D32BF4">
              <w:rPr>
                <w:sz w:val="20"/>
              </w:rPr>
              <w:t>67</w:t>
            </w:r>
            <w:r w:rsidRPr="00322998">
              <w:rPr>
                <w:rFonts w:cs="Arial"/>
                <w:sz w:val="20"/>
              </w:rPr>
              <w:t xml:space="preserve">% of PP pupils achieved 4-5 Secure in reading compared to </w:t>
            </w:r>
            <w:r w:rsidR="00D32BF4">
              <w:rPr>
                <w:rFonts w:cs="Arial"/>
                <w:sz w:val="20"/>
              </w:rPr>
              <w:t>83</w:t>
            </w:r>
            <w:r w:rsidRPr="00322998">
              <w:rPr>
                <w:rFonts w:cs="Arial"/>
                <w:sz w:val="20"/>
              </w:rPr>
              <w:t xml:space="preserve">% </w:t>
            </w:r>
            <w:r w:rsidR="00F674A1" w:rsidRPr="00322998">
              <w:rPr>
                <w:rFonts w:cs="Arial"/>
                <w:sz w:val="20"/>
              </w:rPr>
              <w:t>non-PP</w:t>
            </w:r>
            <w:r w:rsidRPr="00322998">
              <w:rPr>
                <w:rFonts w:cs="Arial"/>
                <w:sz w:val="20"/>
              </w:rPr>
              <w:t xml:space="preserve"> pupils.</w:t>
            </w:r>
            <w:r w:rsidR="00E4436A">
              <w:rPr>
                <w:rFonts w:cs="Arial"/>
                <w:sz w:val="20"/>
              </w:rPr>
              <w:t xml:space="preserve"> Specific interventions to increasingly close the gap will continue in 2024-2025</w:t>
            </w:r>
            <w:r w:rsidR="00F674A1">
              <w:rPr>
                <w:rFonts w:cs="Arial"/>
                <w:sz w:val="20"/>
              </w:rPr>
              <w:t xml:space="preserve"> detailed in our Raising Attainment Plan. </w:t>
            </w:r>
          </w:p>
          <w:p w14:paraId="6EB79A5E" w14:textId="77777777" w:rsidR="0020251A" w:rsidRDefault="0020251A" w:rsidP="00D138D6">
            <w:pPr>
              <w:pStyle w:val="TableRowCentered"/>
              <w:ind w:left="0"/>
              <w:jc w:val="left"/>
              <w:rPr>
                <w:b/>
                <w:bCs/>
                <w:sz w:val="20"/>
              </w:rPr>
            </w:pPr>
          </w:p>
          <w:p w14:paraId="4610AD55" w14:textId="0881EB8B" w:rsidR="0020251A" w:rsidRPr="00387C51" w:rsidRDefault="0020251A" w:rsidP="00D138D6">
            <w:pPr>
              <w:pStyle w:val="TableRowCentered"/>
              <w:ind w:left="0"/>
              <w:jc w:val="left"/>
              <w:rPr>
                <w:sz w:val="20"/>
              </w:rPr>
            </w:pPr>
            <w:r>
              <w:rPr>
                <w:b/>
                <w:bCs/>
                <w:sz w:val="20"/>
              </w:rPr>
              <w:t xml:space="preserve">2024 -25 data highlighted </w:t>
            </w:r>
            <w:r w:rsidR="00E023B6">
              <w:rPr>
                <w:b/>
                <w:bCs/>
                <w:sz w:val="20"/>
              </w:rPr>
              <w:t>–</w:t>
            </w:r>
            <w:r w:rsidR="00F7548A">
              <w:rPr>
                <w:b/>
                <w:bCs/>
                <w:sz w:val="20"/>
              </w:rPr>
              <w:t xml:space="preserve"> </w:t>
            </w:r>
            <w:r w:rsidR="00E023B6" w:rsidRPr="00387C51">
              <w:rPr>
                <w:sz w:val="20"/>
              </w:rPr>
              <w:t xml:space="preserve">33%of PP pupils achieved </w:t>
            </w:r>
            <w:r w:rsidR="008D19E6" w:rsidRPr="00387C51">
              <w:rPr>
                <w:sz w:val="20"/>
              </w:rPr>
              <w:t xml:space="preserve">GLD in reading compared to 67% of non-PP </w:t>
            </w:r>
            <w:r w:rsidR="00426AB5" w:rsidRPr="00387C51">
              <w:rPr>
                <w:sz w:val="20"/>
              </w:rPr>
              <w:t xml:space="preserve">achieved GLD.  </w:t>
            </w:r>
            <w:r w:rsidR="00564C85">
              <w:rPr>
                <w:sz w:val="20"/>
              </w:rPr>
              <w:t xml:space="preserve">Strategies will be put in place through our phonics delivery to ensure that </w:t>
            </w:r>
            <w:r w:rsidR="0034516F">
              <w:rPr>
                <w:sz w:val="20"/>
              </w:rPr>
              <w:t xml:space="preserve">the percentage of PP pupils achieving phonics screening will increase. </w:t>
            </w:r>
          </w:p>
          <w:p w14:paraId="26C228F6" w14:textId="77777777" w:rsidR="00B7597E" w:rsidRDefault="00B7597E" w:rsidP="00D138D6">
            <w:pPr>
              <w:pStyle w:val="TableRowCentered"/>
              <w:ind w:left="0"/>
              <w:jc w:val="left"/>
              <w:rPr>
                <w:b/>
                <w:bCs/>
                <w:sz w:val="20"/>
              </w:rPr>
            </w:pPr>
          </w:p>
          <w:p w14:paraId="78A7042F" w14:textId="77777777" w:rsidR="00B7597E" w:rsidRDefault="00B7597E" w:rsidP="00D138D6">
            <w:pPr>
              <w:pStyle w:val="TableRowCentered"/>
              <w:ind w:left="0"/>
              <w:jc w:val="left"/>
              <w:rPr>
                <w:b/>
                <w:bCs/>
                <w:sz w:val="20"/>
              </w:rPr>
            </w:pPr>
          </w:p>
          <w:p w14:paraId="70CF9BCD" w14:textId="77777777" w:rsidR="00B7597E" w:rsidRDefault="00B7597E" w:rsidP="00D138D6">
            <w:pPr>
              <w:pStyle w:val="TableRowCentered"/>
              <w:ind w:left="0"/>
              <w:jc w:val="left"/>
              <w:rPr>
                <w:b/>
                <w:bCs/>
                <w:sz w:val="20"/>
              </w:rPr>
            </w:pPr>
          </w:p>
          <w:p w14:paraId="70925A04" w14:textId="77777777" w:rsidR="00B7597E" w:rsidRDefault="00B7597E" w:rsidP="00D138D6">
            <w:pPr>
              <w:pStyle w:val="TableRowCentered"/>
              <w:ind w:left="0"/>
              <w:jc w:val="left"/>
              <w:rPr>
                <w:b/>
                <w:bCs/>
                <w:sz w:val="20"/>
              </w:rPr>
            </w:pPr>
          </w:p>
          <w:p w14:paraId="04F70E18" w14:textId="77777777" w:rsidR="00B7597E" w:rsidRDefault="00B7597E" w:rsidP="00D138D6">
            <w:pPr>
              <w:pStyle w:val="TableRowCentered"/>
              <w:ind w:left="0"/>
              <w:jc w:val="left"/>
              <w:rPr>
                <w:b/>
                <w:bCs/>
                <w:sz w:val="20"/>
              </w:rPr>
            </w:pPr>
          </w:p>
          <w:p w14:paraId="1B01EE09" w14:textId="77777777" w:rsidR="00B7597E" w:rsidRDefault="00B7597E" w:rsidP="00D138D6">
            <w:pPr>
              <w:pStyle w:val="TableRowCentered"/>
              <w:ind w:left="0"/>
              <w:jc w:val="left"/>
              <w:rPr>
                <w:b/>
                <w:bCs/>
                <w:sz w:val="20"/>
              </w:rPr>
            </w:pPr>
          </w:p>
          <w:p w14:paraId="37A7922C" w14:textId="77777777" w:rsidR="00B7597E" w:rsidRDefault="00B7597E" w:rsidP="00D138D6">
            <w:pPr>
              <w:pStyle w:val="TableRowCentered"/>
              <w:ind w:left="0"/>
              <w:jc w:val="left"/>
              <w:rPr>
                <w:b/>
                <w:bCs/>
                <w:sz w:val="20"/>
              </w:rPr>
            </w:pPr>
          </w:p>
          <w:p w14:paraId="025FA1EE" w14:textId="3FFF0347" w:rsidR="002A0395" w:rsidRDefault="002A0395" w:rsidP="00FA4BEF">
            <w:pPr>
              <w:pStyle w:val="TableRowCentered"/>
              <w:ind w:left="0"/>
              <w:jc w:val="left"/>
              <w:rPr>
                <w:b/>
                <w:bCs/>
                <w:iCs/>
                <w:sz w:val="20"/>
              </w:rPr>
            </w:pPr>
            <w:r>
              <w:rPr>
                <w:b/>
                <w:bCs/>
                <w:iCs/>
                <w:sz w:val="20"/>
              </w:rPr>
              <w:t>Narrowing the attainment gap across reading, writing and maths.</w:t>
            </w:r>
            <w:r w:rsidR="001F5631">
              <w:rPr>
                <w:b/>
                <w:bCs/>
                <w:iCs/>
                <w:sz w:val="20"/>
              </w:rPr>
              <w:t xml:space="preserve"> </w:t>
            </w:r>
          </w:p>
          <w:p w14:paraId="3E5F6ADD" w14:textId="77777777" w:rsidR="00311EC1" w:rsidRDefault="001F5631" w:rsidP="00FA4BEF">
            <w:pPr>
              <w:pStyle w:val="TableRowCentered"/>
              <w:ind w:left="0"/>
              <w:jc w:val="left"/>
              <w:rPr>
                <w:sz w:val="20"/>
              </w:rPr>
            </w:pPr>
            <w:r w:rsidRPr="00DC0699">
              <w:rPr>
                <w:sz w:val="20"/>
              </w:rPr>
              <w:t xml:space="preserve">Classes across school </w:t>
            </w:r>
            <w:r w:rsidR="006F359A" w:rsidRPr="00DC0699">
              <w:rPr>
                <w:sz w:val="20"/>
              </w:rPr>
              <w:t xml:space="preserve">have identified a range of strategies </w:t>
            </w:r>
            <w:proofErr w:type="gramStart"/>
            <w:r w:rsidR="006F359A" w:rsidRPr="00DC0699">
              <w:rPr>
                <w:sz w:val="20"/>
              </w:rPr>
              <w:t>in order to</w:t>
            </w:r>
            <w:proofErr w:type="gramEnd"/>
            <w:r w:rsidR="006F359A" w:rsidRPr="00DC0699">
              <w:rPr>
                <w:sz w:val="20"/>
              </w:rPr>
              <w:t xml:space="preserve"> increase the progress of PP pupils, with the aim of ensuring </w:t>
            </w:r>
            <w:r w:rsidR="00DC0699" w:rsidRPr="00DC0699">
              <w:rPr>
                <w:sz w:val="20"/>
              </w:rPr>
              <w:t xml:space="preserve">pupils meet their age-related expectations. </w:t>
            </w:r>
            <w:r w:rsidR="00DC0699">
              <w:rPr>
                <w:sz w:val="20"/>
              </w:rPr>
              <w:t xml:space="preserve"> </w:t>
            </w:r>
          </w:p>
          <w:p w14:paraId="31DF6EB0" w14:textId="79549EDD" w:rsidR="001F5631" w:rsidRDefault="009E1032" w:rsidP="00FA4BEF">
            <w:pPr>
              <w:pStyle w:val="TableRowCentered"/>
              <w:ind w:left="0"/>
              <w:jc w:val="left"/>
              <w:rPr>
                <w:sz w:val="20"/>
              </w:rPr>
            </w:pPr>
            <w:r>
              <w:rPr>
                <w:sz w:val="20"/>
              </w:rPr>
              <w:t>Strategies included small interventions groups led by teachers, in class support from teachers, HLTA and TAs, 1:1 support</w:t>
            </w:r>
            <w:r w:rsidR="00FA4BEF">
              <w:rPr>
                <w:sz w:val="20"/>
              </w:rPr>
              <w:t xml:space="preserve">. </w:t>
            </w:r>
          </w:p>
          <w:p w14:paraId="72F713B9" w14:textId="7D1C1439" w:rsidR="00FA4BEF" w:rsidRDefault="00D7446E" w:rsidP="00FA4BEF">
            <w:pPr>
              <w:pStyle w:val="TableRowCentered"/>
              <w:ind w:left="0"/>
              <w:jc w:val="left"/>
              <w:rPr>
                <w:sz w:val="20"/>
              </w:rPr>
            </w:pPr>
            <w:r>
              <w:rPr>
                <w:sz w:val="20"/>
              </w:rPr>
              <w:t xml:space="preserve">By July 2024, </w:t>
            </w:r>
            <w:r w:rsidR="00FC1B19">
              <w:rPr>
                <w:sz w:val="20"/>
              </w:rPr>
              <w:t xml:space="preserve">our internal assessments indicated that </w:t>
            </w:r>
            <w:r w:rsidR="002F3864">
              <w:rPr>
                <w:sz w:val="20"/>
              </w:rPr>
              <w:t xml:space="preserve">the performance of </w:t>
            </w:r>
            <w:r w:rsidR="00186155">
              <w:rPr>
                <w:sz w:val="20"/>
              </w:rPr>
              <w:t xml:space="preserve">disadvantaged pupils is increasing. </w:t>
            </w:r>
            <w:r w:rsidR="00392021">
              <w:rPr>
                <w:sz w:val="20"/>
              </w:rPr>
              <w:t>However, in some classes</w:t>
            </w:r>
            <w:r w:rsidR="00967F21">
              <w:rPr>
                <w:sz w:val="20"/>
              </w:rPr>
              <w:t xml:space="preserve"> the attainment of some disadvantaged pupils remained lower than non-disadvantaged pupils.  </w:t>
            </w:r>
            <w:r w:rsidR="00BB2F25">
              <w:rPr>
                <w:sz w:val="20"/>
              </w:rPr>
              <w:t xml:space="preserve">As a three-year strategy, school believes that we remain on track to achieve our overall </w:t>
            </w:r>
            <w:r w:rsidR="00556CDC">
              <w:rPr>
                <w:sz w:val="20"/>
              </w:rPr>
              <w:t xml:space="preserve">aims by 2026.  Good levels of progress </w:t>
            </w:r>
            <w:r w:rsidR="0006185D">
              <w:rPr>
                <w:sz w:val="20"/>
              </w:rPr>
              <w:t>were</w:t>
            </w:r>
            <w:r w:rsidR="00556CDC">
              <w:rPr>
                <w:sz w:val="20"/>
              </w:rPr>
              <w:t xml:space="preserve"> positive due to </w:t>
            </w:r>
            <w:r w:rsidR="005949E9">
              <w:rPr>
                <w:sz w:val="20"/>
              </w:rPr>
              <w:t xml:space="preserve">interventions put in place throughout the year.  These are </w:t>
            </w:r>
            <w:r w:rsidR="00EF47D0">
              <w:rPr>
                <w:sz w:val="20"/>
              </w:rPr>
              <w:t xml:space="preserve">included within the ‘Raising Attainment Plan’. </w:t>
            </w:r>
          </w:p>
          <w:p w14:paraId="6A164068" w14:textId="77777777" w:rsidR="00EF47D0" w:rsidRDefault="00EF47D0" w:rsidP="00FA4BEF">
            <w:pPr>
              <w:pStyle w:val="TableRowCentered"/>
              <w:ind w:left="0"/>
              <w:jc w:val="left"/>
              <w:rPr>
                <w:sz w:val="20"/>
              </w:rPr>
            </w:pPr>
          </w:p>
          <w:p w14:paraId="3F4827D8" w14:textId="54F8D55B" w:rsidR="0006185D" w:rsidRPr="0006185D" w:rsidRDefault="0006185D" w:rsidP="00FA4BEF">
            <w:pPr>
              <w:pStyle w:val="TableRowCentered"/>
              <w:ind w:left="0"/>
              <w:jc w:val="left"/>
              <w:rPr>
                <w:b/>
                <w:bCs/>
                <w:sz w:val="20"/>
              </w:rPr>
            </w:pPr>
            <w:r w:rsidRPr="0006185D">
              <w:rPr>
                <w:b/>
                <w:bCs/>
                <w:sz w:val="20"/>
              </w:rPr>
              <w:t>Data Results</w:t>
            </w:r>
            <w:r w:rsidR="00BE3EFF">
              <w:rPr>
                <w:b/>
                <w:bCs/>
                <w:sz w:val="20"/>
              </w:rPr>
              <w:t xml:space="preserve"> </w:t>
            </w:r>
          </w:p>
          <w:tbl>
            <w:tblPr>
              <w:tblStyle w:val="TableGrid"/>
              <w:tblW w:w="0" w:type="auto"/>
              <w:tblInd w:w="57" w:type="dxa"/>
              <w:tblLook w:val="04A0" w:firstRow="1" w:lastRow="0" w:firstColumn="1" w:lastColumn="0" w:noHBand="0" w:noVBand="1"/>
            </w:tblPr>
            <w:tblGrid>
              <w:gridCol w:w="2152"/>
              <w:gridCol w:w="1742"/>
              <w:gridCol w:w="1922"/>
              <w:gridCol w:w="2551"/>
            </w:tblGrid>
            <w:tr w:rsidR="000E4E1A" w14:paraId="5577E5A1" w14:textId="77777777" w:rsidTr="00BE3EFF">
              <w:trPr>
                <w:trHeight w:val="377"/>
              </w:trPr>
              <w:tc>
                <w:tcPr>
                  <w:tcW w:w="2152" w:type="dxa"/>
                </w:tcPr>
                <w:p w14:paraId="1C1A80E1" w14:textId="77777777" w:rsidR="000E4E1A" w:rsidRPr="00CF24E7" w:rsidRDefault="000E4E1A" w:rsidP="007F776B">
                  <w:pPr>
                    <w:pStyle w:val="TableRowCentered"/>
                    <w:ind w:left="0"/>
                    <w:jc w:val="left"/>
                    <w:rPr>
                      <w:iCs/>
                      <w:sz w:val="20"/>
                    </w:rPr>
                  </w:pPr>
                </w:p>
              </w:tc>
              <w:tc>
                <w:tcPr>
                  <w:tcW w:w="1742" w:type="dxa"/>
                </w:tcPr>
                <w:p w14:paraId="3FCEF4CE" w14:textId="6E15CDB6" w:rsidR="000E4E1A" w:rsidRPr="00CF24E7" w:rsidRDefault="000E4E1A" w:rsidP="007F776B">
                  <w:pPr>
                    <w:pStyle w:val="TableRowCentered"/>
                    <w:ind w:left="0"/>
                    <w:jc w:val="left"/>
                    <w:rPr>
                      <w:iCs/>
                      <w:sz w:val="20"/>
                    </w:rPr>
                  </w:pPr>
                  <w:r w:rsidRPr="00CF24E7">
                    <w:rPr>
                      <w:iCs/>
                      <w:sz w:val="20"/>
                    </w:rPr>
                    <w:t xml:space="preserve">Non-disadvantaged KS2 SATs </w:t>
                  </w:r>
                  <w:r>
                    <w:rPr>
                      <w:iCs/>
                      <w:sz w:val="20"/>
                    </w:rPr>
                    <w:t>(2024)</w:t>
                  </w:r>
                </w:p>
              </w:tc>
              <w:tc>
                <w:tcPr>
                  <w:tcW w:w="1922" w:type="dxa"/>
                </w:tcPr>
                <w:p w14:paraId="2B143A70" w14:textId="508E7D61" w:rsidR="000E4E1A" w:rsidRDefault="000E4E1A" w:rsidP="007F776B">
                  <w:pPr>
                    <w:pStyle w:val="TableRowCentered"/>
                    <w:ind w:left="0"/>
                    <w:jc w:val="left"/>
                    <w:rPr>
                      <w:iCs/>
                      <w:sz w:val="20"/>
                    </w:rPr>
                  </w:pPr>
                  <w:r w:rsidRPr="00CF24E7">
                    <w:rPr>
                      <w:iCs/>
                      <w:sz w:val="20"/>
                    </w:rPr>
                    <w:t>Disadvantaged KS2 SATs</w:t>
                  </w:r>
                </w:p>
                <w:p w14:paraId="01925E1A" w14:textId="4BE23DFD" w:rsidR="000E4E1A" w:rsidRPr="00CF24E7" w:rsidRDefault="000E4E1A" w:rsidP="007F776B">
                  <w:pPr>
                    <w:pStyle w:val="TableRowCentered"/>
                    <w:ind w:left="0"/>
                    <w:jc w:val="left"/>
                    <w:rPr>
                      <w:iCs/>
                      <w:sz w:val="20"/>
                    </w:rPr>
                  </w:pPr>
                  <w:r>
                    <w:rPr>
                      <w:iCs/>
                      <w:sz w:val="20"/>
                    </w:rPr>
                    <w:t>(2024)</w:t>
                  </w:r>
                </w:p>
              </w:tc>
              <w:tc>
                <w:tcPr>
                  <w:tcW w:w="2551" w:type="dxa"/>
                </w:tcPr>
                <w:p w14:paraId="6730C80F" w14:textId="4A714986" w:rsidR="000E4E1A" w:rsidRPr="00CF24E7" w:rsidRDefault="000E4E1A" w:rsidP="007F776B">
                  <w:pPr>
                    <w:pStyle w:val="TableRowCentered"/>
                    <w:ind w:left="0"/>
                    <w:jc w:val="left"/>
                    <w:rPr>
                      <w:iCs/>
                      <w:sz w:val="20"/>
                    </w:rPr>
                  </w:pPr>
                  <w:r w:rsidRPr="00CF24E7">
                    <w:rPr>
                      <w:iCs/>
                      <w:sz w:val="20"/>
                    </w:rPr>
                    <w:t>National (All pupils)</w:t>
                  </w:r>
                </w:p>
              </w:tc>
            </w:tr>
            <w:tr w:rsidR="000E4E1A" w14:paraId="279F015B" w14:textId="77777777" w:rsidTr="00BE3EFF">
              <w:trPr>
                <w:trHeight w:val="387"/>
              </w:trPr>
              <w:tc>
                <w:tcPr>
                  <w:tcW w:w="2152" w:type="dxa"/>
                </w:tcPr>
                <w:p w14:paraId="73B1324B" w14:textId="43A0757C" w:rsidR="000E4E1A" w:rsidRPr="00CF24E7" w:rsidRDefault="000E4E1A" w:rsidP="007F776B">
                  <w:pPr>
                    <w:pStyle w:val="TableRowCentered"/>
                    <w:ind w:left="0"/>
                    <w:jc w:val="left"/>
                    <w:rPr>
                      <w:iCs/>
                      <w:sz w:val="20"/>
                    </w:rPr>
                  </w:pPr>
                  <w:r w:rsidRPr="00CF24E7">
                    <w:rPr>
                      <w:iCs/>
                      <w:sz w:val="20"/>
                    </w:rPr>
                    <w:t xml:space="preserve">Reading </w:t>
                  </w:r>
                </w:p>
              </w:tc>
              <w:tc>
                <w:tcPr>
                  <w:tcW w:w="1742" w:type="dxa"/>
                </w:tcPr>
                <w:p w14:paraId="6FE35B28" w14:textId="6041C793" w:rsidR="000E4E1A" w:rsidRPr="00CF24E7" w:rsidRDefault="000E4E1A" w:rsidP="007F776B">
                  <w:pPr>
                    <w:pStyle w:val="TableRowCentered"/>
                    <w:ind w:left="0"/>
                    <w:jc w:val="left"/>
                    <w:rPr>
                      <w:iCs/>
                      <w:sz w:val="20"/>
                    </w:rPr>
                  </w:pPr>
                  <w:r>
                    <w:rPr>
                      <w:iCs/>
                      <w:sz w:val="20"/>
                    </w:rPr>
                    <w:t>88%</w:t>
                  </w:r>
                </w:p>
              </w:tc>
              <w:tc>
                <w:tcPr>
                  <w:tcW w:w="1922" w:type="dxa"/>
                </w:tcPr>
                <w:p w14:paraId="002D0DBD" w14:textId="46B18B08" w:rsidR="000E4E1A" w:rsidRPr="00CF24E7" w:rsidRDefault="000E4E1A" w:rsidP="007F776B">
                  <w:pPr>
                    <w:pStyle w:val="TableRowCentered"/>
                    <w:ind w:left="0"/>
                    <w:jc w:val="left"/>
                    <w:rPr>
                      <w:iCs/>
                      <w:sz w:val="20"/>
                    </w:rPr>
                  </w:pPr>
                  <w:r>
                    <w:rPr>
                      <w:iCs/>
                      <w:sz w:val="20"/>
                    </w:rPr>
                    <w:t>81%</w:t>
                  </w:r>
                </w:p>
              </w:tc>
              <w:tc>
                <w:tcPr>
                  <w:tcW w:w="2551" w:type="dxa"/>
                </w:tcPr>
                <w:p w14:paraId="5B74B70B" w14:textId="7796F574" w:rsidR="000E4E1A" w:rsidRPr="00CF24E7" w:rsidRDefault="000E4E1A" w:rsidP="007F776B">
                  <w:pPr>
                    <w:pStyle w:val="TableRowCentered"/>
                    <w:ind w:left="0"/>
                    <w:jc w:val="left"/>
                    <w:rPr>
                      <w:iCs/>
                      <w:sz w:val="20"/>
                    </w:rPr>
                  </w:pPr>
                  <w:r>
                    <w:rPr>
                      <w:iCs/>
                      <w:sz w:val="20"/>
                    </w:rPr>
                    <w:t>74%</w:t>
                  </w:r>
                </w:p>
              </w:tc>
            </w:tr>
            <w:tr w:rsidR="000E4E1A" w14:paraId="329598D5" w14:textId="77777777" w:rsidTr="00BE3EFF">
              <w:trPr>
                <w:trHeight w:val="377"/>
              </w:trPr>
              <w:tc>
                <w:tcPr>
                  <w:tcW w:w="2152" w:type="dxa"/>
                </w:tcPr>
                <w:p w14:paraId="1A03D88D" w14:textId="7E7B4598" w:rsidR="000E4E1A" w:rsidRPr="00CF24E7" w:rsidRDefault="000E4E1A" w:rsidP="007F776B">
                  <w:pPr>
                    <w:pStyle w:val="TableRowCentered"/>
                    <w:ind w:left="0"/>
                    <w:jc w:val="left"/>
                    <w:rPr>
                      <w:iCs/>
                      <w:sz w:val="20"/>
                    </w:rPr>
                  </w:pPr>
                  <w:r w:rsidRPr="00CF24E7">
                    <w:rPr>
                      <w:iCs/>
                      <w:sz w:val="20"/>
                    </w:rPr>
                    <w:t>Writing</w:t>
                  </w:r>
                </w:p>
              </w:tc>
              <w:tc>
                <w:tcPr>
                  <w:tcW w:w="1742" w:type="dxa"/>
                </w:tcPr>
                <w:p w14:paraId="2097608E" w14:textId="3EF01DE2" w:rsidR="000E4E1A" w:rsidRPr="00CF24E7" w:rsidRDefault="000E4E1A" w:rsidP="007F776B">
                  <w:pPr>
                    <w:pStyle w:val="TableRowCentered"/>
                    <w:ind w:left="0"/>
                    <w:jc w:val="left"/>
                    <w:rPr>
                      <w:iCs/>
                      <w:sz w:val="20"/>
                    </w:rPr>
                  </w:pPr>
                  <w:r>
                    <w:rPr>
                      <w:iCs/>
                      <w:sz w:val="20"/>
                    </w:rPr>
                    <w:t>75%</w:t>
                  </w:r>
                </w:p>
              </w:tc>
              <w:tc>
                <w:tcPr>
                  <w:tcW w:w="1922" w:type="dxa"/>
                </w:tcPr>
                <w:p w14:paraId="6A5FFE6D" w14:textId="02C238E6" w:rsidR="000E4E1A" w:rsidRPr="00CF24E7" w:rsidRDefault="000E4E1A" w:rsidP="007F776B">
                  <w:pPr>
                    <w:pStyle w:val="TableRowCentered"/>
                    <w:ind w:left="0"/>
                    <w:jc w:val="left"/>
                    <w:rPr>
                      <w:iCs/>
                      <w:sz w:val="20"/>
                    </w:rPr>
                  </w:pPr>
                  <w:r>
                    <w:rPr>
                      <w:iCs/>
                      <w:sz w:val="20"/>
                    </w:rPr>
                    <w:t>69%</w:t>
                  </w:r>
                </w:p>
              </w:tc>
              <w:tc>
                <w:tcPr>
                  <w:tcW w:w="2551" w:type="dxa"/>
                </w:tcPr>
                <w:p w14:paraId="7FB08970" w14:textId="4B71BFC7" w:rsidR="000E4E1A" w:rsidRPr="00CF24E7" w:rsidRDefault="000E4E1A" w:rsidP="007F776B">
                  <w:pPr>
                    <w:pStyle w:val="TableRowCentered"/>
                    <w:ind w:left="0"/>
                    <w:jc w:val="left"/>
                    <w:rPr>
                      <w:iCs/>
                      <w:sz w:val="20"/>
                    </w:rPr>
                  </w:pPr>
                  <w:r>
                    <w:rPr>
                      <w:iCs/>
                      <w:sz w:val="20"/>
                    </w:rPr>
                    <w:t>72%</w:t>
                  </w:r>
                </w:p>
              </w:tc>
            </w:tr>
            <w:tr w:rsidR="000E4E1A" w14:paraId="2BEEC0CB" w14:textId="77777777" w:rsidTr="00BE3EFF">
              <w:trPr>
                <w:trHeight w:val="387"/>
              </w:trPr>
              <w:tc>
                <w:tcPr>
                  <w:tcW w:w="2152" w:type="dxa"/>
                </w:tcPr>
                <w:p w14:paraId="3014E2B2" w14:textId="346EA19E" w:rsidR="000E4E1A" w:rsidRPr="00CF24E7" w:rsidRDefault="000E4E1A" w:rsidP="007F776B">
                  <w:pPr>
                    <w:pStyle w:val="TableRowCentered"/>
                    <w:ind w:left="0"/>
                    <w:jc w:val="left"/>
                    <w:rPr>
                      <w:iCs/>
                      <w:sz w:val="20"/>
                    </w:rPr>
                  </w:pPr>
                  <w:r w:rsidRPr="00CF24E7">
                    <w:rPr>
                      <w:iCs/>
                      <w:sz w:val="20"/>
                    </w:rPr>
                    <w:t xml:space="preserve">Maths </w:t>
                  </w:r>
                </w:p>
              </w:tc>
              <w:tc>
                <w:tcPr>
                  <w:tcW w:w="1742" w:type="dxa"/>
                </w:tcPr>
                <w:p w14:paraId="2C498CCC" w14:textId="3C477538" w:rsidR="000E4E1A" w:rsidRPr="00CF24E7" w:rsidRDefault="000E4E1A" w:rsidP="007F776B">
                  <w:pPr>
                    <w:pStyle w:val="TableRowCentered"/>
                    <w:ind w:left="0"/>
                    <w:jc w:val="left"/>
                    <w:rPr>
                      <w:iCs/>
                      <w:sz w:val="20"/>
                    </w:rPr>
                  </w:pPr>
                  <w:r>
                    <w:rPr>
                      <w:iCs/>
                      <w:sz w:val="20"/>
                    </w:rPr>
                    <w:t>81%</w:t>
                  </w:r>
                </w:p>
              </w:tc>
              <w:tc>
                <w:tcPr>
                  <w:tcW w:w="1922" w:type="dxa"/>
                </w:tcPr>
                <w:p w14:paraId="1CAB488D" w14:textId="60EE8A4C" w:rsidR="000E4E1A" w:rsidRPr="00CF24E7" w:rsidRDefault="000E4E1A" w:rsidP="007F776B">
                  <w:pPr>
                    <w:pStyle w:val="TableRowCentered"/>
                    <w:ind w:left="0"/>
                    <w:jc w:val="left"/>
                    <w:rPr>
                      <w:iCs/>
                      <w:sz w:val="20"/>
                    </w:rPr>
                  </w:pPr>
                  <w:r>
                    <w:rPr>
                      <w:iCs/>
                      <w:sz w:val="20"/>
                    </w:rPr>
                    <w:t>69%</w:t>
                  </w:r>
                </w:p>
              </w:tc>
              <w:tc>
                <w:tcPr>
                  <w:tcW w:w="2551" w:type="dxa"/>
                </w:tcPr>
                <w:p w14:paraId="720B05E9" w14:textId="7C2E3124" w:rsidR="000E4E1A" w:rsidRPr="00CF24E7" w:rsidRDefault="000E4E1A" w:rsidP="007F776B">
                  <w:pPr>
                    <w:pStyle w:val="TableRowCentered"/>
                    <w:ind w:left="0"/>
                    <w:jc w:val="left"/>
                    <w:rPr>
                      <w:iCs/>
                      <w:sz w:val="20"/>
                    </w:rPr>
                  </w:pPr>
                  <w:r>
                    <w:rPr>
                      <w:iCs/>
                      <w:sz w:val="20"/>
                    </w:rPr>
                    <w:t>73%</w:t>
                  </w:r>
                </w:p>
              </w:tc>
            </w:tr>
            <w:tr w:rsidR="005D652E" w14:paraId="5DD7C214" w14:textId="77777777" w:rsidTr="00BE3EFF">
              <w:trPr>
                <w:trHeight w:val="387"/>
              </w:trPr>
              <w:tc>
                <w:tcPr>
                  <w:tcW w:w="2152" w:type="dxa"/>
                </w:tcPr>
                <w:p w14:paraId="300AB137" w14:textId="0C98D941" w:rsidR="005D652E" w:rsidRPr="00CF24E7" w:rsidRDefault="005D652E" w:rsidP="007F776B">
                  <w:pPr>
                    <w:pStyle w:val="TableRowCentered"/>
                    <w:ind w:left="0"/>
                    <w:jc w:val="left"/>
                    <w:rPr>
                      <w:iCs/>
                      <w:sz w:val="20"/>
                    </w:rPr>
                  </w:pPr>
                  <w:r>
                    <w:rPr>
                      <w:iCs/>
                      <w:sz w:val="20"/>
                    </w:rPr>
                    <w:t>SPAG</w:t>
                  </w:r>
                </w:p>
              </w:tc>
              <w:tc>
                <w:tcPr>
                  <w:tcW w:w="1742" w:type="dxa"/>
                </w:tcPr>
                <w:p w14:paraId="253D6439" w14:textId="484CDC4A" w:rsidR="005D652E" w:rsidRDefault="002C74D9" w:rsidP="007F776B">
                  <w:pPr>
                    <w:pStyle w:val="TableRowCentered"/>
                    <w:ind w:left="0"/>
                    <w:jc w:val="left"/>
                    <w:rPr>
                      <w:iCs/>
                      <w:sz w:val="20"/>
                    </w:rPr>
                  </w:pPr>
                  <w:r>
                    <w:rPr>
                      <w:iCs/>
                      <w:sz w:val="20"/>
                    </w:rPr>
                    <w:t>88%</w:t>
                  </w:r>
                </w:p>
              </w:tc>
              <w:tc>
                <w:tcPr>
                  <w:tcW w:w="1922" w:type="dxa"/>
                </w:tcPr>
                <w:p w14:paraId="3F3A9EFF" w14:textId="1E683A58" w:rsidR="005D652E" w:rsidRDefault="00924246" w:rsidP="007F776B">
                  <w:pPr>
                    <w:pStyle w:val="TableRowCentered"/>
                    <w:ind w:left="0"/>
                    <w:jc w:val="left"/>
                    <w:rPr>
                      <w:iCs/>
                      <w:sz w:val="20"/>
                    </w:rPr>
                  </w:pPr>
                  <w:r>
                    <w:rPr>
                      <w:iCs/>
                      <w:sz w:val="20"/>
                    </w:rPr>
                    <w:t>75%</w:t>
                  </w:r>
                </w:p>
              </w:tc>
              <w:tc>
                <w:tcPr>
                  <w:tcW w:w="2551" w:type="dxa"/>
                </w:tcPr>
                <w:p w14:paraId="46F270A2" w14:textId="6BC2C6E7" w:rsidR="005D652E" w:rsidRDefault="00093B49" w:rsidP="007F776B">
                  <w:pPr>
                    <w:pStyle w:val="TableRowCentered"/>
                    <w:ind w:left="0"/>
                    <w:jc w:val="left"/>
                    <w:rPr>
                      <w:iCs/>
                      <w:sz w:val="20"/>
                    </w:rPr>
                  </w:pPr>
                  <w:r>
                    <w:rPr>
                      <w:iCs/>
                      <w:sz w:val="20"/>
                    </w:rPr>
                    <w:t>72%</w:t>
                  </w:r>
                </w:p>
              </w:tc>
            </w:tr>
            <w:tr w:rsidR="000E4E1A" w14:paraId="54871C61" w14:textId="77777777" w:rsidTr="00BE3EFF">
              <w:trPr>
                <w:trHeight w:val="377"/>
              </w:trPr>
              <w:tc>
                <w:tcPr>
                  <w:tcW w:w="2152" w:type="dxa"/>
                </w:tcPr>
                <w:p w14:paraId="0166FD0C" w14:textId="565F2EF1" w:rsidR="000E4E1A" w:rsidRPr="00CF24E7" w:rsidRDefault="000E4E1A" w:rsidP="007F776B">
                  <w:pPr>
                    <w:pStyle w:val="TableRowCentered"/>
                    <w:ind w:left="0"/>
                    <w:jc w:val="left"/>
                    <w:rPr>
                      <w:iCs/>
                      <w:sz w:val="20"/>
                    </w:rPr>
                  </w:pPr>
                  <w:r w:rsidRPr="00CF24E7">
                    <w:rPr>
                      <w:iCs/>
                      <w:sz w:val="20"/>
                    </w:rPr>
                    <w:t xml:space="preserve">Combined </w:t>
                  </w:r>
                </w:p>
              </w:tc>
              <w:tc>
                <w:tcPr>
                  <w:tcW w:w="1742" w:type="dxa"/>
                </w:tcPr>
                <w:p w14:paraId="67066BE8" w14:textId="7FBF366D" w:rsidR="000E4E1A" w:rsidRPr="00CF24E7" w:rsidRDefault="000E4E1A" w:rsidP="007F776B">
                  <w:pPr>
                    <w:pStyle w:val="TableRowCentered"/>
                    <w:ind w:left="0"/>
                    <w:jc w:val="left"/>
                    <w:rPr>
                      <w:iCs/>
                      <w:sz w:val="20"/>
                    </w:rPr>
                  </w:pPr>
                  <w:r>
                    <w:rPr>
                      <w:iCs/>
                      <w:sz w:val="20"/>
                    </w:rPr>
                    <w:t>71%</w:t>
                  </w:r>
                </w:p>
              </w:tc>
              <w:tc>
                <w:tcPr>
                  <w:tcW w:w="1922" w:type="dxa"/>
                </w:tcPr>
                <w:p w14:paraId="7C66861C" w14:textId="65CEDBCB" w:rsidR="000E4E1A" w:rsidRPr="00CF24E7" w:rsidRDefault="000E4E1A" w:rsidP="007F776B">
                  <w:pPr>
                    <w:pStyle w:val="TableRowCentered"/>
                    <w:ind w:left="0"/>
                    <w:jc w:val="left"/>
                    <w:rPr>
                      <w:iCs/>
                      <w:sz w:val="20"/>
                    </w:rPr>
                  </w:pPr>
                  <w:r>
                    <w:rPr>
                      <w:iCs/>
                      <w:sz w:val="20"/>
                    </w:rPr>
                    <w:t>56%</w:t>
                  </w:r>
                </w:p>
              </w:tc>
              <w:tc>
                <w:tcPr>
                  <w:tcW w:w="2551" w:type="dxa"/>
                </w:tcPr>
                <w:p w14:paraId="0433DBE2" w14:textId="6403558A" w:rsidR="000E4E1A" w:rsidRPr="00CF24E7" w:rsidRDefault="000E4E1A" w:rsidP="007F776B">
                  <w:pPr>
                    <w:pStyle w:val="TableRowCentered"/>
                    <w:ind w:left="0"/>
                    <w:jc w:val="left"/>
                    <w:rPr>
                      <w:iCs/>
                      <w:sz w:val="20"/>
                    </w:rPr>
                  </w:pPr>
                  <w:r>
                    <w:rPr>
                      <w:iCs/>
                      <w:sz w:val="20"/>
                    </w:rPr>
                    <w:t>62%</w:t>
                  </w:r>
                </w:p>
              </w:tc>
            </w:tr>
          </w:tbl>
          <w:p w14:paraId="7A1A9D15" w14:textId="77777777" w:rsidR="00CB0AD3" w:rsidRDefault="00CB0AD3" w:rsidP="0075690B">
            <w:pPr>
              <w:pStyle w:val="TableRowCentered"/>
              <w:ind w:left="0"/>
              <w:jc w:val="left"/>
              <w:rPr>
                <w:b/>
                <w:bCs/>
                <w:iCs/>
                <w:sz w:val="20"/>
              </w:rPr>
            </w:pPr>
          </w:p>
          <w:tbl>
            <w:tblPr>
              <w:tblStyle w:val="TableGrid"/>
              <w:tblW w:w="0" w:type="auto"/>
              <w:tblInd w:w="57" w:type="dxa"/>
              <w:tblLook w:val="04A0" w:firstRow="1" w:lastRow="0" w:firstColumn="1" w:lastColumn="0" w:noHBand="0" w:noVBand="1"/>
            </w:tblPr>
            <w:tblGrid>
              <w:gridCol w:w="2152"/>
              <w:gridCol w:w="1742"/>
              <w:gridCol w:w="1922"/>
              <w:gridCol w:w="2551"/>
            </w:tblGrid>
            <w:tr w:rsidR="000E4E1A" w:rsidRPr="00CF24E7" w14:paraId="48DD1229" w14:textId="77777777" w:rsidTr="004D31DB">
              <w:trPr>
                <w:trHeight w:val="377"/>
              </w:trPr>
              <w:tc>
                <w:tcPr>
                  <w:tcW w:w="2152" w:type="dxa"/>
                </w:tcPr>
                <w:p w14:paraId="64C6298F" w14:textId="77777777" w:rsidR="000E4E1A" w:rsidRPr="00CF24E7" w:rsidRDefault="000E4E1A" w:rsidP="000E4E1A">
                  <w:pPr>
                    <w:pStyle w:val="TableRowCentered"/>
                    <w:ind w:left="0"/>
                    <w:jc w:val="left"/>
                    <w:rPr>
                      <w:iCs/>
                      <w:sz w:val="20"/>
                    </w:rPr>
                  </w:pPr>
                </w:p>
              </w:tc>
              <w:tc>
                <w:tcPr>
                  <w:tcW w:w="1742" w:type="dxa"/>
                </w:tcPr>
                <w:p w14:paraId="21353D59" w14:textId="5527450F" w:rsidR="000E4E1A" w:rsidRPr="00CF24E7" w:rsidRDefault="000E4E1A" w:rsidP="000E4E1A">
                  <w:pPr>
                    <w:pStyle w:val="TableRowCentered"/>
                    <w:ind w:left="0"/>
                    <w:jc w:val="left"/>
                    <w:rPr>
                      <w:iCs/>
                      <w:sz w:val="20"/>
                    </w:rPr>
                  </w:pPr>
                  <w:r w:rsidRPr="00CF24E7">
                    <w:rPr>
                      <w:iCs/>
                      <w:sz w:val="20"/>
                    </w:rPr>
                    <w:t xml:space="preserve">Non-disadvantaged KS2 SATs </w:t>
                  </w:r>
                  <w:r>
                    <w:rPr>
                      <w:iCs/>
                      <w:sz w:val="20"/>
                    </w:rPr>
                    <w:t>(202</w:t>
                  </w:r>
                  <w:r w:rsidR="00F97A29">
                    <w:rPr>
                      <w:iCs/>
                      <w:sz w:val="20"/>
                    </w:rPr>
                    <w:t>5</w:t>
                  </w:r>
                  <w:r>
                    <w:rPr>
                      <w:iCs/>
                      <w:sz w:val="20"/>
                    </w:rPr>
                    <w:t>)</w:t>
                  </w:r>
                </w:p>
              </w:tc>
              <w:tc>
                <w:tcPr>
                  <w:tcW w:w="1922" w:type="dxa"/>
                </w:tcPr>
                <w:p w14:paraId="127F567A" w14:textId="77777777" w:rsidR="000E4E1A" w:rsidRDefault="000E4E1A" w:rsidP="000E4E1A">
                  <w:pPr>
                    <w:pStyle w:val="TableRowCentered"/>
                    <w:ind w:left="0"/>
                    <w:jc w:val="left"/>
                    <w:rPr>
                      <w:iCs/>
                      <w:sz w:val="20"/>
                    </w:rPr>
                  </w:pPr>
                  <w:r w:rsidRPr="00CF24E7">
                    <w:rPr>
                      <w:iCs/>
                      <w:sz w:val="20"/>
                    </w:rPr>
                    <w:t>Disadvantaged KS2 SATs</w:t>
                  </w:r>
                </w:p>
                <w:p w14:paraId="3A254350" w14:textId="0315BECA" w:rsidR="000E4E1A" w:rsidRPr="00CF24E7" w:rsidRDefault="000E4E1A" w:rsidP="000E4E1A">
                  <w:pPr>
                    <w:pStyle w:val="TableRowCentered"/>
                    <w:ind w:left="0"/>
                    <w:jc w:val="left"/>
                    <w:rPr>
                      <w:iCs/>
                      <w:sz w:val="20"/>
                    </w:rPr>
                  </w:pPr>
                  <w:r>
                    <w:rPr>
                      <w:iCs/>
                      <w:sz w:val="20"/>
                    </w:rPr>
                    <w:t>(202</w:t>
                  </w:r>
                  <w:r w:rsidR="00F97A29">
                    <w:rPr>
                      <w:iCs/>
                      <w:sz w:val="20"/>
                    </w:rPr>
                    <w:t>5</w:t>
                  </w:r>
                  <w:r>
                    <w:rPr>
                      <w:iCs/>
                      <w:sz w:val="20"/>
                    </w:rPr>
                    <w:t>)</w:t>
                  </w:r>
                </w:p>
              </w:tc>
              <w:tc>
                <w:tcPr>
                  <w:tcW w:w="2551" w:type="dxa"/>
                </w:tcPr>
                <w:p w14:paraId="4294285B" w14:textId="77777777" w:rsidR="000E4E1A" w:rsidRPr="00CF24E7" w:rsidRDefault="000E4E1A" w:rsidP="000E4E1A">
                  <w:pPr>
                    <w:pStyle w:val="TableRowCentered"/>
                    <w:ind w:left="0"/>
                    <w:jc w:val="left"/>
                    <w:rPr>
                      <w:iCs/>
                      <w:sz w:val="20"/>
                    </w:rPr>
                  </w:pPr>
                  <w:r w:rsidRPr="00CF24E7">
                    <w:rPr>
                      <w:iCs/>
                      <w:sz w:val="20"/>
                    </w:rPr>
                    <w:t>National (All pupils)</w:t>
                  </w:r>
                </w:p>
              </w:tc>
            </w:tr>
            <w:tr w:rsidR="000E4E1A" w:rsidRPr="00CF24E7" w14:paraId="6A9AA85F" w14:textId="77777777" w:rsidTr="004D31DB">
              <w:trPr>
                <w:trHeight w:val="387"/>
              </w:trPr>
              <w:tc>
                <w:tcPr>
                  <w:tcW w:w="2152" w:type="dxa"/>
                </w:tcPr>
                <w:p w14:paraId="640E8655" w14:textId="77777777" w:rsidR="000E4E1A" w:rsidRPr="00CF24E7" w:rsidRDefault="000E4E1A" w:rsidP="000E4E1A">
                  <w:pPr>
                    <w:pStyle w:val="TableRowCentered"/>
                    <w:ind w:left="0"/>
                    <w:jc w:val="left"/>
                    <w:rPr>
                      <w:iCs/>
                      <w:sz w:val="20"/>
                    </w:rPr>
                  </w:pPr>
                  <w:r w:rsidRPr="00CF24E7">
                    <w:rPr>
                      <w:iCs/>
                      <w:sz w:val="20"/>
                    </w:rPr>
                    <w:t xml:space="preserve">Reading </w:t>
                  </w:r>
                </w:p>
              </w:tc>
              <w:tc>
                <w:tcPr>
                  <w:tcW w:w="1742" w:type="dxa"/>
                </w:tcPr>
                <w:p w14:paraId="1C446A1C" w14:textId="3A614D99" w:rsidR="000E4E1A" w:rsidRPr="00CF24E7" w:rsidRDefault="002467A7" w:rsidP="000E4E1A">
                  <w:pPr>
                    <w:pStyle w:val="TableRowCentered"/>
                    <w:ind w:left="0"/>
                    <w:jc w:val="left"/>
                    <w:rPr>
                      <w:iCs/>
                      <w:sz w:val="20"/>
                    </w:rPr>
                  </w:pPr>
                  <w:r>
                    <w:rPr>
                      <w:iCs/>
                      <w:sz w:val="20"/>
                    </w:rPr>
                    <w:t>70</w:t>
                  </w:r>
                  <w:r w:rsidR="000E4E1A">
                    <w:rPr>
                      <w:iCs/>
                      <w:sz w:val="20"/>
                    </w:rPr>
                    <w:t>%</w:t>
                  </w:r>
                </w:p>
              </w:tc>
              <w:tc>
                <w:tcPr>
                  <w:tcW w:w="1922" w:type="dxa"/>
                </w:tcPr>
                <w:p w14:paraId="07A777FC" w14:textId="4AEE2076" w:rsidR="000E4E1A" w:rsidRPr="00CF24E7" w:rsidRDefault="00FD0A09" w:rsidP="000E4E1A">
                  <w:pPr>
                    <w:pStyle w:val="TableRowCentered"/>
                    <w:ind w:left="0"/>
                    <w:jc w:val="left"/>
                    <w:rPr>
                      <w:iCs/>
                      <w:sz w:val="20"/>
                    </w:rPr>
                  </w:pPr>
                  <w:r>
                    <w:rPr>
                      <w:iCs/>
                      <w:sz w:val="20"/>
                    </w:rPr>
                    <w:t>65</w:t>
                  </w:r>
                  <w:r w:rsidR="000E4E1A">
                    <w:rPr>
                      <w:iCs/>
                      <w:sz w:val="20"/>
                    </w:rPr>
                    <w:t>%</w:t>
                  </w:r>
                </w:p>
              </w:tc>
              <w:tc>
                <w:tcPr>
                  <w:tcW w:w="2551" w:type="dxa"/>
                </w:tcPr>
                <w:p w14:paraId="3EB2C0C9" w14:textId="70A7A853" w:rsidR="000E4E1A" w:rsidRPr="00CF24E7" w:rsidRDefault="00FD0A09" w:rsidP="000E4E1A">
                  <w:pPr>
                    <w:pStyle w:val="TableRowCentered"/>
                    <w:ind w:left="0"/>
                    <w:jc w:val="left"/>
                    <w:rPr>
                      <w:iCs/>
                      <w:sz w:val="20"/>
                    </w:rPr>
                  </w:pPr>
                  <w:r>
                    <w:rPr>
                      <w:iCs/>
                      <w:sz w:val="20"/>
                    </w:rPr>
                    <w:t>75</w:t>
                  </w:r>
                  <w:r w:rsidR="000E4E1A">
                    <w:rPr>
                      <w:iCs/>
                      <w:sz w:val="20"/>
                    </w:rPr>
                    <w:t>%</w:t>
                  </w:r>
                </w:p>
              </w:tc>
            </w:tr>
            <w:tr w:rsidR="000E4E1A" w:rsidRPr="00CF24E7" w14:paraId="78012942" w14:textId="77777777" w:rsidTr="004D31DB">
              <w:trPr>
                <w:trHeight w:val="377"/>
              </w:trPr>
              <w:tc>
                <w:tcPr>
                  <w:tcW w:w="2152" w:type="dxa"/>
                </w:tcPr>
                <w:p w14:paraId="4A3A3E0C" w14:textId="77777777" w:rsidR="000E4E1A" w:rsidRPr="00CF24E7" w:rsidRDefault="000E4E1A" w:rsidP="000E4E1A">
                  <w:pPr>
                    <w:pStyle w:val="TableRowCentered"/>
                    <w:ind w:left="0"/>
                    <w:jc w:val="left"/>
                    <w:rPr>
                      <w:iCs/>
                      <w:sz w:val="20"/>
                    </w:rPr>
                  </w:pPr>
                  <w:r w:rsidRPr="00CF24E7">
                    <w:rPr>
                      <w:iCs/>
                      <w:sz w:val="20"/>
                    </w:rPr>
                    <w:t>Writing</w:t>
                  </w:r>
                </w:p>
              </w:tc>
              <w:tc>
                <w:tcPr>
                  <w:tcW w:w="1742" w:type="dxa"/>
                </w:tcPr>
                <w:p w14:paraId="376B1DAA" w14:textId="02E65853" w:rsidR="000E4E1A" w:rsidRPr="00CF24E7" w:rsidRDefault="00FD0A09" w:rsidP="000E4E1A">
                  <w:pPr>
                    <w:pStyle w:val="TableRowCentered"/>
                    <w:ind w:left="0"/>
                    <w:jc w:val="left"/>
                    <w:rPr>
                      <w:iCs/>
                      <w:sz w:val="20"/>
                    </w:rPr>
                  </w:pPr>
                  <w:r>
                    <w:rPr>
                      <w:iCs/>
                      <w:sz w:val="20"/>
                    </w:rPr>
                    <w:t>64</w:t>
                  </w:r>
                  <w:r w:rsidR="000E4E1A">
                    <w:rPr>
                      <w:iCs/>
                      <w:sz w:val="20"/>
                    </w:rPr>
                    <w:t>%</w:t>
                  </w:r>
                </w:p>
              </w:tc>
              <w:tc>
                <w:tcPr>
                  <w:tcW w:w="1922" w:type="dxa"/>
                </w:tcPr>
                <w:p w14:paraId="235DCB4A" w14:textId="3433630A" w:rsidR="000E4E1A" w:rsidRPr="00CF24E7" w:rsidRDefault="00FD0A09" w:rsidP="000E4E1A">
                  <w:pPr>
                    <w:pStyle w:val="TableRowCentered"/>
                    <w:ind w:left="0"/>
                    <w:jc w:val="left"/>
                    <w:rPr>
                      <w:iCs/>
                      <w:sz w:val="20"/>
                    </w:rPr>
                  </w:pPr>
                  <w:r>
                    <w:rPr>
                      <w:iCs/>
                      <w:sz w:val="20"/>
                    </w:rPr>
                    <w:t>59</w:t>
                  </w:r>
                  <w:r w:rsidR="000E4E1A">
                    <w:rPr>
                      <w:iCs/>
                      <w:sz w:val="20"/>
                    </w:rPr>
                    <w:t>%</w:t>
                  </w:r>
                </w:p>
              </w:tc>
              <w:tc>
                <w:tcPr>
                  <w:tcW w:w="2551" w:type="dxa"/>
                </w:tcPr>
                <w:p w14:paraId="604CA920" w14:textId="061479D2" w:rsidR="000E4E1A" w:rsidRPr="00CF24E7" w:rsidRDefault="00FD0A09" w:rsidP="000E4E1A">
                  <w:pPr>
                    <w:pStyle w:val="TableRowCentered"/>
                    <w:ind w:left="0"/>
                    <w:jc w:val="left"/>
                    <w:rPr>
                      <w:iCs/>
                      <w:sz w:val="20"/>
                    </w:rPr>
                  </w:pPr>
                  <w:r>
                    <w:rPr>
                      <w:iCs/>
                      <w:sz w:val="20"/>
                    </w:rPr>
                    <w:t>72</w:t>
                  </w:r>
                  <w:r w:rsidR="000E4E1A">
                    <w:rPr>
                      <w:iCs/>
                      <w:sz w:val="20"/>
                    </w:rPr>
                    <w:t>%</w:t>
                  </w:r>
                </w:p>
              </w:tc>
            </w:tr>
            <w:tr w:rsidR="000E4E1A" w:rsidRPr="00CF24E7" w14:paraId="4D5DD262" w14:textId="77777777" w:rsidTr="004D31DB">
              <w:trPr>
                <w:trHeight w:val="387"/>
              </w:trPr>
              <w:tc>
                <w:tcPr>
                  <w:tcW w:w="2152" w:type="dxa"/>
                </w:tcPr>
                <w:p w14:paraId="5F98B3BF" w14:textId="77777777" w:rsidR="000E4E1A" w:rsidRPr="00CF24E7" w:rsidRDefault="000E4E1A" w:rsidP="000E4E1A">
                  <w:pPr>
                    <w:pStyle w:val="TableRowCentered"/>
                    <w:ind w:left="0"/>
                    <w:jc w:val="left"/>
                    <w:rPr>
                      <w:iCs/>
                      <w:sz w:val="20"/>
                    </w:rPr>
                  </w:pPr>
                  <w:r w:rsidRPr="00CF24E7">
                    <w:rPr>
                      <w:iCs/>
                      <w:sz w:val="20"/>
                    </w:rPr>
                    <w:t xml:space="preserve">Maths </w:t>
                  </w:r>
                </w:p>
              </w:tc>
              <w:tc>
                <w:tcPr>
                  <w:tcW w:w="1742" w:type="dxa"/>
                </w:tcPr>
                <w:p w14:paraId="0034A073" w14:textId="765BCEDB" w:rsidR="000E4E1A" w:rsidRPr="00CF24E7" w:rsidRDefault="00550F24" w:rsidP="000E4E1A">
                  <w:pPr>
                    <w:pStyle w:val="TableRowCentered"/>
                    <w:ind w:left="0"/>
                    <w:jc w:val="left"/>
                    <w:rPr>
                      <w:iCs/>
                      <w:sz w:val="20"/>
                    </w:rPr>
                  </w:pPr>
                  <w:r>
                    <w:rPr>
                      <w:iCs/>
                      <w:sz w:val="20"/>
                    </w:rPr>
                    <w:t>75</w:t>
                  </w:r>
                  <w:r w:rsidR="000E4E1A">
                    <w:rPr>
                      <w:iCs/>
                      <w:sz w:val="20"/>
                    </w:rPr>
                    <w:t>%</w:t>
                  </w:r>
                </w:p>
              </w:tc>
              <w:tc>
                <w:tcPr>
                  <w:tcW w:w="1922" w:type="dxa"/>
                </w:tcPr>
                <w:p w14:paraId="7DFC0B21" w14:textId="2C08D7BB" w:rsidR="000E4E1A" w:rsidRPr="00CF24E7" w:rsidRDefault="00550F24" w:rsidP="000E4E1A">
                  <w:pPr>
                    <w:pStyle w:val="TableRowCentered"/>
                    <w:ind w:left="0"/>
                    <w:jc w:val="left"/>
                    <w:rPr>
                      <w:iCs/>
                      <w:sz w:val="20"/>
                    </w:rPr>
                  </w:pPr>
                  <w:r>
                    <w:rPr>
                      <w:iCs/>
                      <w:sz w:val="20"/>
                    </w:rPr>
                    <w:t>76</w:t>
                  </w:r>
                  <w:r w:rsidR="000E4E1A">
                    <w:rPr>
                      <w:iCs/>
                      <w:sz w:val="20"/>
                    </w:rPr>
                    <w:t>%</w:t>
                  </w:r>
                </w:p>
              </w:tc>
              <w:tc>
                <w:tcPr>
                  <w:tcW w:w="2551" w:type="dxa"/>
                </w:tcPr>
                <w:p w14:paraId="4943E966" w14:textId="6AAC6F8A" w:rsidR="000E4E1A" w:rsidRPr="00CF24E7" w:rsidRDefault="00866CEC" w:rsidP="000E4E1A">
                  <w:pPr>
                    <w:pStyle w:val="TableRowCentered"/>
                    <w:ind w:left="0"/>
                    <w:jc w:val="left"/>
                    <w:rPr>
                      <w:iCs/>
                      <w:sz w:val="20"/>
                    </w:rPr>
                  </w:pPr>
                  <w:r>
                    <w:rPr>
                      <w:iCs/>
                      <w:sz w:val="20"/>
                    </w:rPr>
                    <w:t>74</w:t>
                  </w:r>
                  <w:r w:rsidR="000E4E1A">
                    <w:rPr>
                      <w:iCs/>
                      <w:sz w:val="20"/>
                    </w:rPr>
                    <w:t>%</w:t>
                  </w:r>
                </w:p>
              </w:tc>
            </w:tr>
            <w:tr w:rsidR="005D652E" w:rsidRPr="00CF24E7" w14:paraId="44ED35EC" w14:textId="77777777" w:rsidTr="004D31DB">
              <w:trPr>
                <w:trHeight w:val="387"/>
              </w:trPr>
              <w:tc>
                <w:tcPr>
                  <w:tcW w:w="2152" w:type="dxa"/>
                </w:tcPr>
                <w:p w14:paraId="2C38D8AE" w14:textId="4506C950" w:rsidR="005D652E" w:rsidRPr="00CF24E7" w:rsidRDefault="005D652E" w:rsidP="000E4E1A">
                  <w:pPr>
                    <w:pStyle w:val="TableRowCentered"/>
                    <w:ind w:left="0"/>
                    <w:jc w:val="left"/>
                    <w:rPr>
                      <w:iCs/>
                      <w:sz w:val="20"/>
                    </w:rPr>
                  </w:pPr>
                  <w:r>
                    <w:rPr>
                      <w:iCs/>
                      <w:sz w:val="20"/>
                    </w:rPr>
                    <w:t>SPAG</w:t>
                  </w:r>
                </w:p>
              </w:tc>
              <w:tc>
                <w:tcPr>
                  <w:tcW w:w="1742" w:type="dxa"/>
                </w:tcPr>
                <w:p w14:paraId="1BDD56AB" w14:textId="48ACEDF2" w:rsidR="005D652E" w:rsidRDefault="00AF107D" w:rsidP="000E4E1A">
                  <w:pPr>
                    <w:pStyle w:val="TableRowCentered"/>
                    <w:ind w:left="0"/>
                    <w:jc w:val="left"/>
                    <w:rPr>
                      <w:iCs/>
                      <w:sz w:val="20"/>
                    </w:rPr>
                  </w:pPr>
                  <w:r>
                    <w:rPr>
                      <w:iCs/>
                      <w:sz w:val="20"/>
                    </w:rPr>
                    <w:t>75%</w:t>
                  </w:r>
                </w:p>
              </w:tc>
              <w:tc>
                <w:tcPr>
                  <w:tcW w:w="1922" w:type="dxa"/>
                </w:tcPr>
                <w:p w14:paraId="15528E3A" w14:textId="3FF09BC9" w:rsidR="005D652E" w:rsidRDefault="00AF107D" w:rsidP="000E4E1A">
                  <w:pPr>
                    <w:pStyle w:val="TableRowCentered"/>
                    <w:ind w:left="0"/>
                    <w:jc w:val="left"/>
                    <w:rPr>
                      <w:iCs/>
                      <w:sz w:val="20"/>
                    </w:rPr>
                  </w:pPr>
                  <w:r>
                    <w:rPr>
                      <w:iCs/>
                      <w:sz w:val="20"/>
                    </w:rPr>
                    <w:t>71%</w:t>
                  </w:r>
                </w:p>
              </w:tc>
              <w:tc>
                <w:tcPr>
                  <w:tcW w:w="2551" w:type="dxa"/>
                </w:tcPr>
                <w:p w14:paraId="1B271213" w14:textId="70B369EA" w:rsidR="005D652E" w:rsidRDefault="00CC3514" w:rsidP="000E4E1A">
                  <w:pPr>
                    <w:pStyle w:val="TableRowCentered"/>
                    <w:ind w:left="0"/>
                    <w:jc w:val="left"/>
                    <w:rPr>
                      <w:iCs/>
                      <w:sz w:val="20"/>
                    </w:rPr>
                  </w:pPr>
                  <w:r>
                    <w:rPr>
                      <w:iCs/>
                      <w:sz w:val="20"/>
                    </w:rPr>
                    <w:t>73%</w:t>
                  </w:r>
                </w:p>
              </w:tc>
            </w:tr>
            <w:tr w:rsidR="000E4E1A" w:rsidRPr="00CF24E7" w14:paraId="768CC6E8" w14:textId="77777777" w:rsidTr="004D31DB">
              <w:trPr>
                <w:trHeight w:val="377"/>
              </w:trPr>
              <w:tc>
                <w:tcPr>
                  <w:tcW w:w="2152" w:type="dxa"/>
                </w:tcPr>
                <w:p w14:paraId="235CDBC2" w14:textId="77777777" w:rsidR="000E4E1A" w:rsidRPr="00CF24E7" w:rsidRDefault="000E4E1A" w:rsidP="000E4E1A">
                  <w:pPr>
                    <w:pStyle w:val="TableRowCentered"/>
                    <w:ind w:left="0"/>
                    <w:jc w:val="left"/>
                    <w:rPr>
                      <w:iCs/>
                      <w:sz w:val="20"/>
                    </w:rPr>
                  </w:pPr>
                  <w:r w:rsidRPr="00CF24E7">
                    <w:rPr>
                      <w:iCs/>
                      <w:sz w:val="20"/>
                    </w:rPr>
                    <w:t xml:space="preserve">Combined </w:t>
                  </w:r>
                </w:p>
              </w:tc>
              <w:tc>
                <w:tcPr>
                  <w:tcW w:w="1742" w:type="dxa"/>
                </w:tcPr>
                <w:p w14:paraId="3C67795E" w14:textId="5353F4D4" w:rsidR="000E4E1A" w:rsidRPr="00CF24E7" w:rsidRDefault="005C77B6" w:rsidP="000E4E1A">
                  <w:pPr>
                    <w:pStyle w:val="TableRowCentered"/>
                    <w:ind w:left="0"/>
                    <w:jc w:val="left"/>
                    <w:rPr>
                      <w:iCs/>
                      <w:sz w:val="20"/>
                    </w:rPr>
                  </w:pPr>
                  <w:r>
                    <w:rPr>
                      <w:iCs/>
                      <w:sz w:val="20"/>
                    </w:rPr>
                    <w:t>64</w:t>
                  </w:r>
                  <w:r w:rsidR="000E4E1A">
                    <w:rPr>
                      <w:iCs/>
                      <w:sz w:val="20"/>
                    </w:rPr>
                    <w:t>%</w:t>
                  </w:r>
                </w:p>
              </w:tc>
              <w:tc>
                <w:tcPr>
                  <w:tcW w:w="1922" w:type="dxa"/>
                </w:tcPr>
                <w:p w14:paraId="68A7E775" w14:textId="11ED8ECE" w:rsidR="000E4E1A" w:rsidRPr="00CF24E7" w:rsidRDefault="005C77B6" w:rsidP="000E4E1A">
                  <w:pPr>
                    <w:pStyle w:val="TableRowCentered"/>
                    <w:ind w:left="0"/>
                    <w:jc w:val="left"/>
                    <w:rPr>
                      <w:iCs/>
                      <w:sz w:val="20"/>
                    </w:rPr>
                  </w:pPr>
                  <w:r>
                    <w:rPr>
                      <w:iCs/>
                      <w:sz w:val="20"/>
                    </w:rPr>
                    <w:t>47</w:t>
                  </w:r>
                  <w:r w:rsidR="000E4E1A">
                    <w:rPr>
                      <w:iCs/>
                      <w:sz w:val="20"/>
                    </w:rPr>
                    <w:t>%</w:t>
                  </w:r>
                </w:p>
              </w:tc>
              <w:tc>
                <w:tcPr>
                  <w:tcW w:w="2551" w:type="dxa"/>
                </w:tcPr>
                <w:p w14:paraId="0C676B51" w14:textId="5B631AAB" w:rsidR="000E4E1A" w:rsidRPr="00CF24E7" w:rsidRDefault="005C77B6" w:rsidP="000E4E1A">
                  <w:pPr>
                    <w:pStyle w:val="TableRowCentered"/>
                    <w:ind w:left="0"/>
                    <w:jc w:val="left"/>
                    <w:rPr>
                      <w:iCs/>
                      <w:sz w:val="20"/>
                    </w:rPr>
                  </w:pPr>
                  <w:r>
                    <w:rPr>
                      <w:iCs/>
                      <w:sz w:val="20"/>
                    </w:rPr>
                    <w:t>62</w:t>
                  </w:r>
                  <w:r w:rsidR="000E4E1A">
                    <w:rPr>
                      <w:iCs/>
                      <w:sz w:val="20"/>
                    </w:rPr>
                    <w:t>%</w:t>
                  </w:r>
                </w:p>
              </w:tc>
            </w:tr>
          </w:tbl>
          <w:p w14:paraId="6C874AB1" w14:textId="77777777" w:rsidR="000E4E1A" w:rsidRDefault="000E4E1A" w:rsidP="0075690B">
            <w:pPr>
              <w:pStyle w:val="TableRowCentered"/>
              <w:ind w:left="0"/>
              <w:jc w:val="left"/>
              <w:rPr>
                <w:b/>
                <w:bCs/>
                <w:iCs/>
                <w:sz w:val="20"/>
              </w:rPr>
            </w:pPr>
          </w:p>
          <w:p w14:paraId="666B6BB9" w14:textId="77777777" w:rsidR="00E63C32" w:rsidRDefault="00E63C32" w:rsidP="00E63C32">
            <w:pPr>
              <w:pStyle w:val="TableRowCentered"/>
              <w:jc w:val="left"/>
              <w:rPr>
                <w:b/>
                <w:bCs/>
                <w:sz w:val="20"/>
              </w:rPr>
            </w:pPr>
            <w:r w:rsidRPr="00710775">
              <w:rPr>
                <w:b/>
                <w:bCs/>
                <w:sz w:val="20"/>
              </w:rPr>
              <w:t xml:space="preserve">Attendance and punctuality are not always seen as a high priority. </w:t>
            </w:r>
          </w:p>
          <w:p w14:paraId="71497AB6" w14:textId="0FF9A608" w:rsidR="00EE6280" w:rsidRDefault="00EE6280" w:rsidP="000C45FD">
            <w:pPr>
              <w:pStyle w:val="TableRowCentered"/>
              <w:jc w:val="left"/>
              <w:rPr>
                <w:iCs/>
                <w:sz w:val="20"/>
              </w:rPr>
            </w:pPr>
            <w:r w:rsidRPr="00444380">
              <w:rPr>
                <w:iCs/>
                <w:sz w:val="20"/>
              </w:rPr>
              <w:t xml:space="preserve">Attendance during the academic year 2023 -2024 for disadvantaged pupils was 94.6% (average). </w:t>
            </w:r>
            <w:r>
              <w:rPr>
                <w:iCs/>
                <w:sz w:val="20"/>
              </w:rPr>
              <w:t xml:space="preserve"> Attendance was in line with National Average. There were still some issues with attendance and punctuality for disadvantaged pupils. </w:t>
            </w:r>
            <w:r w:rsidR="006E27BD">
              <w:rPr>
                <w:iCs/>
                <w:sz w:val="20"/>
              </w:rPr>
              <w:t xml:space="preserve">There is a difference of around </w:t>
            </w:r>
            <w:r w:rsidR="005C420F">
              <w:rPr>
                <w:iCs/>
                <w:sz w:val="20"/>
              </w:rPr>
              <w:t>-</w:t>
            </w:r>
            <w:r w:rsidR="00214810">
              <w:rPr>
                <w:iCs/>
                <w:sz w:val="20"/>
              </w:rPr>
              <w:t xml:space="preserve">5% when comparing </w:t>
            </w:r>
            <w:r w:rsidR="005C420F">
              <w:rPr>
                <w:iCs/>
                <w:sz w:val="20"/>
              </w:rPr>
              <w:t>attendance of non-disadvantaged pupils to dis</w:t>
            </w:r>
            <w:r w:rsidR="00E20686">
              <w:rPr>
                <w:iCs/>
                <w:sz w:val="20"/>
              </w:rPr>
              <w:t>advantaged pupils</w:t>
            </w:r>
            <w:r w:rsidR="00F04E7B">
              <w:rPr>
                <w:iCs/>
                <w:sz w:val="20"/>
              </w:rPr>
              <w:t xml:space="preserve"> in some classes</w:t>
            </w:r>
            <w:r w:rsidR="00E20686">
              <w:rPr>
                <w:iCs/>
                <w:sz w:val="20"/>
              </w:rPr>
              <w:t xml:space="preserve">. However, through precise tracking </w:t>
            </w:r>
            <w:r w:rsidR="00475472">
              <w:rPr>
                <w:iCs/>
                <w:sz w:val="20"/>
              </w:rPr>
              <w:t xml:space="preserve">of these pupils </w:t>
            </w:r>
            <w:r w:rsidR="002D32F2">
              <w:rPr>
                <w:iCs/>
                <w:sz w:val="20"/>
              </w:rPr>
              <w:t>there has been an increase in disadvantaged overall attendance.  School also employs the service of a EWO which enabled</w:t>
            </w:r>
            <w:r w:rsidR="00F63145">
              <w:rPr>
                <w:iCs/>
                <w:sz w:val="20"/>
              </w:rPr>
              <w:t xml:space="preserve"> us to undertake, home visits and </w:t>
            </w:r>
            <w:r w:rsidR="00F04E7B">
              <w:rPr>
                <w:iCs/>
                <w:sz w:val="20"/>
              </w:rPr>
              <w:t xml:space="preserve">conducts </w:t>
            </w:r>
            <w:r w:rsidR="00F63145">
              <w:rPr>
                <w:iCs/>
                <w:sz w:val="20"/>
              </w:rPr>
              <w:t xml:space="preserve">attendance meetings. Attendance and punctuality </w:t>
            </w:r>
            <w:r w:rsidR="00EE5A1E">
              <w:rPr>
                <w:iCs/>
                <w:sz w:val="20"/>
              </w:rPr>
              <w:t>continue</w:t>
            </w:r>
            <w:r w:rsidR="00F63145">
              <w:rPr>
                <w:iCs/>
                <w:sz w:val="20"/>
              </w:rPr>
              <w:t xml:space="preserve"> to be </w:t>
            </w:r>
            <w:r w:rsidR="002168D0">
              <w:rPr>
                <w:iCs/>
                <w:sz w:val="20"/>
              </w:rPr>
              <w:t>a key focus for 2024-2025, following the guidance from DfE Working Together to Improve School Attendance</w:t>
            </w:r>
            <w:r w:rsidR="00EE5A1E">
              <w:rPr>
                <w:iCs/>
                <w:sz w:val="20"/>
              </w:rPr>
              <w:t xml:space="preserve">. </w:t>
            </w:r>
          </w:p>
          <w:p w14:paraId="33844949" w14:textId="77777777" w:rsidR="000C45FD" w:rsidRDefault="000C45FD" w:rsidP="00EE6280">
            <w:pPr>
              <w:pStyle w:val="TableRowCentered"/>
              <w:jc w:val="left"/>
              <w:rPr>
                <w:iCs/>
                <w:sz w:val="20"/>
              </w:rPr>
            </w:pPr>
          </w:p>
          <w:p w14:paraId="6D4BADC5" w14:textId="7B35F967" w:rsidR="00EE5A1E" w:rsidRPr="00444380" w:rsidRDefault="00EE5A1E" w:rsidP="00EE6280">
            <w:pPr>
              <w:pStyle w:val="TableRowCentered"/>
              <w:jc w:val="left"/>
              <w:rPr>
                <w:iCs/>
                <w:sz w:val="20"/>
              </w:rPr>
            </w:pPr>
            <w:r>
              <w:rPr>
                <w:iCs/>
                <w:sz w:val="20"/>
              </w:rPr>
              <w:t xml:space="preserve">Through 2023-2024 school have provided toast for every child as they enter </w:t>
            </w:r>
            <w:r w:rsidR="00D677FA">
              <w:rPr>
                <w:iCs/>
                <w:sz w:val="20"/>
              </w:rPr>
              <w:t xml:space="preserve">school in the mornings. This will continue. </w:t>
            </w:r>
            <w:r w:rsidR="005F770E">
              <w:rPr>
                <w:iCs/>
                <w:sz w:val="20"/>
              </w:rPr>
              <w:t xml:space="preserve">   </w:t>
            </w:r>
            <w:r w:rsidR="0034516F">
              <w:rPr>
                <w:iCs/>
                <w:sz w:val="20"/>
              </w:rPr>
              <w:t xml:space="preserve"> </w:t>
            </w:r>
          </w:p>
          <w:p w14:paraId="748F00E2" w14:textId="77777777" w:rsidR="0075690B" w:rsidRDefault="0075690B" w:rsidP="00E63C32">
            <w:pPr>
              <w:pStyle w:val="TableRowCentered"/>
              <w:jc w:val="left"/>
              <w:rPr>
                <w:b/>
                <w:bCs/>
                <w:sz w:val="20"/>
              </w:rPr>
            </w:pPr>
          </w:p>
          <w:p w14:paraId="17E4A5D5" w14:textId="47BB9184" w:rsidR="00720501" w:rsidRDefault="00D677FA" w:rsidP="00E63C32">
            <w:pPr>
              <w:pStyle w:val="TableRowCentered"/>
              <w:jc w:val="left"/>
              <w:rPr>
                <w:b/>
                <w:bCs/>
                <w:sz w:val="20"/>
              </w:rPr>
            </w:pPr>
            <w:r>
              <w:rPr>
                <w:b/>
                <w:bCs/>
                <w:sz w:val="20"/>
              </w:rPr>
              <w:t xml:space="preserve">Attendance overview </w:t>
            </w:r>
          </w:p>
          <w:tbl>
            <w:tblPr>
              <w:tblStyle w:val="TableGrid"/>
              <w:tblW w:w="0" w:type="auto"/>
              <w:tblLook w:val="04A0" w:firstRow="1" w:lastRow="0" w:firstColumn="1" w:lastColumn="0" w:noHBand="0" w:noVBand="1"/>
            </w:tblPr>
            <w:tblGrid>
              <w:gridCol w:w="1160"/>
              <w:gridCol w:w="1418"/>
              <w:gridCol w:w="1408"/>
              <w:gridCol w:w="1329"/>
            </w:tblGrid>
            <w:tr w:rsidR="00720501" w:rsidRPr="00322998" w14:paraId="673B9EEF" w14:textId="77777777" w:rsidTr="00B46863">
              <w:trPr>
                <w:trHeight w:val="601"/>
              </w:trPr>
              <w:tc>
                <w:tcPr>
                  <w:tcW w:w="1160" w:type="dxa"/>
                </w:tcPr>
                <w:p w14:paraId="008BD782" w14:textId="77777777" w:rsidR="00720501" w:rsidRPr="00322998" w:rsidRDefault="00720501" w:rsidP="00720501">
                  <w:pPr>
                    <w:rPr>
                      <w:rFonts w:ascii="Arial" w:hAnsi="Arial" w:cs="Arial"/>
                      <w:sz w:val="20"/>
                      <w:szCs w:val="20"/>
                    </w:rPr>
                  </w:pPr>
                </w:p>
              </w:tc>
              <w:tc>
                <w:tcPr>
                  <w:tcW w:w="1418" w:type="dxa"/>
                </w:tcPr>
                <w:p w14:paraId="0FD73A6C" w14:textId="66D6A91F" w:rsidR="00720501" w:rsidRPr="00322998" w:rsidRDefault="00720501" w:rsidP="00720501">
                  <w:pPr>
                    <w:rPr>
                      <w:rFonts w:ascii="Arial" w:hAnsi="Arial" w:cs="Arial"/>
                      <w:sz w:val="20"/>
                      <w:szCs w:val="20"/>
                    </w:rPr>
                  </w:pPr>
                  <w:r w:rsidRPr="00322998">
                    <w:rPr>
                      <w:rFonts w:ascii="Arial" w:hAnsi="Arial" w:cs="Arial"/>
                      <w:sz w:val="20"/>
                      <w:szCs w:val="20"/>
                    </w:rPr>
                    <w:t>Autumn 2</w:t>
                  </w:r>
                  <w:r w:rsidR="00D04318">
                    <w:rPr>
                      <w:rFonts w:ascii="Arial" w:hAnsi="Arial" w:cs="Arial"/>
                      <w:sz w:val="20"/>
                      <w:szCs w:val="20"/>
                    </w:rPr>
                    <w:t>3</w:t>
                  </w:r>
                </w:p>
              </w:tc>
              <w:tc>
                <w:tcPr>
                  <w:tcW w:w="1408" w:type="dxa"/>
                </w:tcPr>
                <w:p w14:paraId="4EE8EA72" w14:textId="5A9B1F59" w:rsidR="00720501" w:rsidRPr="00322998" w:rsidRDefault="00720501" w:rsidP="00720501">
                  <w:pPr>
                    <w:rPr>
                      <w:rFonts w:ascii="Arial" w:hAnsi="Arial" w:cs="Arial"/>
                      <w:sz w:val="20"/>
                      <w:szCs w:val="20"/>
                    </w:rPr>
                  </w:pPr>
                  <w:r w:rsidRPr="00322998">
                    <w:rPr>
                      <w:rFonts w:ascii="Arial" w:hAnsi="Arial" w:cs="Arial"/>
                      <w:sz w:val="20"/>
                      <w:szCs w:val="20"/>
                    </w:rPr>
                    <w:t>Spring 2</w:t>
                  </w:r>
                  <w:r w:rsidR="00D04318">
                    <w:rPr>
                      <w:rFonts w:ascii="Arial" w:hAnsi="Arial" w:cs="Arial"/>
                      <w:sz w:val="20"/>
                      <w:szCs w:val="20"/>
                    </w:rPr>
                    <w:t>4</w:t>
                  </w:r>
                </w:p>
              </w:tc>
              <w:tc>
                <w:tcPr>
                  <w:tcW w:w="1329" w:type="dxa"/>
                </w:tcPr>
                <w:p w14:paraId="5876F902" w14:textId="229E8290" w:rsidR="00720501" w:rsidRPr="00322998" w:rsidRDefault="00720501" w:rsidP="00720501">
                  <w:pPr>
                    <w:rPr>
                      <w:rFonts w:ascii="Arial" w:hAnsi="Arial" w:cs="Arial"/>
                      <w:sz w:val="20"/>
                      <w:szCs w:val="20"/>
                    </w:rPr>
                  </w:pPr>
                  <w:r w:rsidRPr="00322998">
                    <w:rPr>
                      <w:rFonts w:ascii="Arial" w:hAnsi="Arial" w:cs="Arial"/>
                      <w:sz w:val="20"/>
                      <w:szCs w:val="20"/>
                    </w:rPr>
                    <w:t>Summer 2</w:t>
                  </w:r>
                  <w:r w:rsidR="00D04318">
                    <w:rPr>
                      <w:rFonts w:ascii="Arial" w:hAnsi="Arial" w:cs="Arial"/>
                      <w:sz w:val="20"/>
                      <w:szCs w:val="20"/>
                    </w:rPr>
                    <w:t>4</w:t>
                  </w:r>
                </w:p>
              </w:tc>
            </w:tr>
            <w:tr w:rsidR="00720501" w:rsidRPr="00322998" w14:paraId="59DE0CD0" w14:textId="77777777" w:rsidTr="00B46863">
              <w:trPr>
                <w:trHeight w:val="601"/>
              </w:trPr>
              <w:tc>
                <w:tcPr>
                  <w:tcW w:w="1160" w:type="dxa"/>
                </w:tcPr>
                <w:p w14:paraId="754D3586" w14:textId="77777777" w:rsidR="00720501" w:rsidRPr="00322998" w:rsidRDefault="00720501" w:rsidP="00720501">
                  <w:pPr>
                    <w:rPr>
                      <w:rFonts w:ascii="Arial" w:hAnsi="Arial" w:cs="Arial"/>
                      <w:sz w:val="20"/>
                      <w:szCs w:val="20"/>
                    </w:rPr>
                  </w:pPr>
                  <w:r w:rsidRPr="00322998">
                    <w:rPr>
                      <w:rFonts w:ascii="Arial" w:hAnsi="Arial" w:cs="Arial"/>
                      <w:sz w:val="20"/>
                      <w:szCs w:val="20"/>
                    </w:rPr>
                    <w:t xml:space="preserve">PP </w:t>
                  </w:r>
                </w:p>
              </w:tc>
              <w:tc>
                <w:tcPr>
                  <w:tcW w:w="1418" w:type="dxa"/>
                </w:tcPr>
                <w:p w14:paraId="2E0B5BCE" w14:textId="049A6C3B" w:rsidR="00720501" w:rsidRPr="00322998" w:rsidRDefault="007148D4" w:rsidP="00720501">
                  <w:pPr>
                    <w:rPr>
                      <w:rFonts w:ascii="Arial" w:hAnsi="Arial" w:cs="Arial"/>
                      <w:sz w:val="20"/>
                      <w:szCs w:val="20"/>
                    </w:rPr>
                  </w:pPr>
                  <w:r>
                    <w:rPr>
                      <w:rFonts w:ascii="Arial" w:hAnsi="Arial" w:cs="Arial"/>
                      <w:sz w:val="20"/>
                      <w:szCs w:val="20"/>
                    </w:rPr>
                    <w:t>97.3</w:t>
                  </w:r>
                  <w:r w:rsidR="00720501" w:rsidRPr="00322998">
                    <w:rPr>
                      <w:rFonts w:ascii="Arial" w:hAnsi="Arial" w:cs="Arial"/>
                      <w:sz w:val="20"/>
                      <w:szCs w:val="20"/>
                    </w:rPr>
                    <w:t>%</w:t>
                  </w:r>
                </w:p>
              </w:tc>
              <w:tc>
                <w:tcPr>
                  <w:tcW w:w="1408" w:type="dxa"/>
                </w:tcPr>
                <w:p w14:paraId="04CDA6B6" w14:textId="3F375754" w:rsidR="00720501" w:rsidRPr="00322998" w:rsidRDefault="00F17A2A" w:rsidP="00720501">
                  <w:pPr>
                    <w:rPr>
                      <w:rFonts w:ascii="Arial" w:hAnsi="Arial" w:cs="Arial"/>
                      <w:sz w:val="20"/>
                      <w:szCs w:val="20"/>
                    </w:rPr>
                  </w:pPr>
                  <w:r>
                    <w:rPr>
                      <w:rFonts w:ascii="Arial" w:hAnsi="Arial" w:cs="Arial"/>
                      <w:sz w:val="20"/>
                      <w:szCs w:val="20"/>
                    </w:rPr>
                    <w:t>93.3</w:t>
                  </w:r>
                  <w:r w:rsidR="00720501" w:rsidRPr="00322998">
                    <w:rPr>
                      <w:rFonts w:ascii="Arial" w:hAnsi="Arial" w:cs="Arial"/>
                      <w:sz w:val="20"/>
                      <w:szCs w:val="20"/>
                    </w:rPr>
                    <w:t>%</w:t>
                  </w:r>
                </w:p>
              </w:tc>
              <w:tc>
                <w:tcPr>
                  <w:tcW w:w="1329" w:type="dxa"/>
                </w:tcPr>
                <w:p w14:paraId="6081426C" w14:textId="4993C00C" w:rsidR="00720501" w:rsidRPr="00322998" w:rsidRDefault="005B174E" w:rsidP="00720501">
                  <w:pPr>
                    <w:rPr>
                      <w:rFonts w:ascii="Arial" w:hAnsi="Arial" w:cs="Arial"/>
                      <w:sz w:val="20"/>
                      <w:szCs w:val="20"/>
                    </w:rPr>
                  </w:pPr>
                  <w:r>
                    <w:rPr>
                      <w:rFonts w:ascii="Arial" w:hAnsi="Arial" w:cs="Arial"/>
                      <w:sz w:val="20"/>
                      <w:szCs w:val="20"/>
                    </w:rPr>
                    <w:t>94.3</w:t>
                  </w:r>
                  <w:r w:rsidR="00720501" w:rsidRPr="00322998">
                    <w:rPr>
                      <w:rFonts w:ascii="Arial" w:hAnsi="Arial" w:cs="Arial"/>
                      <w:sz w:val="20"/>
                      <w:szCs w:val="20"/>
                    </w:rPr>
                    <w:t>%</w:t>
                  </w:r>
                </w:p>
              </w:tc>
            </w:tr>
            <w:tr w:rsidR="00720501" w:rsidRPr="00322998" w14:paraId="48047B2C" w14:textId="77777777" w:rsidTr="00B46863">
              <w:trPr>
                <w:trHeight w:val="601"/>
              </w:trPr>
              <w:tc>
                <w:tcPr>
                  <w:tcW w:w="1160" w:type="dxa"/>
                </w:tcPr>
                <w:p w14:paraId="369E70C3" w14:textId="77777777" w:rsidR="00720501" w:rsidRPr="00322998" w:rsidRDefault="00720501" w:rsidP="00720501">
                  <w:pPr>
                    <w:rPr>
                      <w:rFonts w:ascii="Arial" w:hAnsi="Arial" w:cs="Arial"/>
                      <w:sz w:val="20"/>
                      <w:szCs w:val="20"/>
                    </w:rPr>
                  </w:pPr>
                  <w:r w:rsidRPr="00322998">
                    <w:rPr>
                      <w:rFonts w:ascii="Arial" w:hAnsi="Arial" w:cs="Arial"/>
                      <w:sz w:val="20"/>
                      <w:szCs w:val="20"/>
                    </w:rPr>
                    <w:t>Non-PP</w:t>
                  </w:r>
                </w:p>
              </w:tc>
              <w:tc>
                <w:tcPr>
                  <w:tcW w:w="1418" w:type="dxa"/>
                </w:tcPr>
                <w:p w14:paraId="7758C393" w14:textId="0673FF39" w:rsidR="00720501" w:rsidRPr="00322998" w:rsidRDefault="007148D4" w:rsidP="00720501">
                  <w:pPr>
                    <w:rPr>
                      <w:rFonts w:ascii="Arial" w:hAnsi="Arial" w:cs="Arial"/>
                      <w:sz w:val="20"/>
                      <w:szCs w:val="20"/>
                    </w:rPr>
                  </w:pPr>
                  <w:r>
                    <w:rPr>
                      <w:rFonts w:ascii="Arial" w:hAnsi="Arial" w:cs="Arial"/>
                      <w:sz w:val="20"/>
                      <w:szCs w:val="20"/>
                    </w:rPr>
                    <w:t>96.9</w:t>
                  </w:r>
                  <w:r w:rsidR="00720501" w:rsidRPr="00322998">
                    <w:rPr>
                      <w:rFonts w:ascii="Arial" w:hAnsi="Arial" w:cs="Arial"/>
                      <w:sz w:val="20"/>
                      <w:szCs w:val="20"/>
                    </w:rPr>
                    <w:t>%</w:t>
                  </w:r>
                </w:p>
              </w:tc>
              <w:tc>
                <w:tcPr>
                  <w:tcW w:w="1408" w:type="dxa"/>
                </w:tcPr>
                <w:p w14:paraId="2353DD55" w14:textId="46CA306E" w:rsidR="00720501" w:rsidRPr="00322998" w:rsidRDefault="000E709E" w:rsidP="00720501">
                  <w:pPr>
                    <w:rPr>
                      <w:rFonts w:ascii="Arial" w:hAnsi="Arial" w:cs="Arial"/>
                      <w:sz w:val="20"/>
                      <w:szCs w:val="20"/>
                    </w:rPr>
                  </w:pPr>
                  <w:r>
                    <w:rPr>
                      <w:rFonts w:ascii="Arial" w:hAnsi="Arial" w:cs="Arial"/>
                      <w:sz w:val="20"/>
                      <w:szCs w:val="20"/>
                    </w:rPr>
                    <w:t>96.3</w:t>
                  </w:r>
                  <w:r w:rsidR="00720501" w:rsidRPr="00322998">
                    <w:rPr>
                      <w:rFonts w:ascii="Arial" w:hAnsi="Arial" w:cs="Arial"/>
                      <w:sz w:val="20"/>
                      <w:szCs w:val="20"/>
                    </w:rPr>
                    <w:t>%</w:t>
                  </w:r>
                </w:p>
              </w:tc>
              <w:tc>
                <w:tcPr>
                  <w:tcW w:w="1329" w:type="dxa"/>
                </w:tcPr>
                <w:p w14:paraId="635ED454" w14:textId="19BC6373" w:rsidR="00720501" w:rsidRPr="00322998" w:rsidRDefault="009B7D18" w:rsidP="00720501">
                  <w:pPr>
                    <w:rPr>
                      <w:rFonts w:ascii="Arial" w:hAnsi="Arial" w:cs="Arial"/>
                      <w:sz w:val="20"/>
                      <w:szCs w:val="20"/>
                    </w:rPr>
                  </w:pPr>
                  <w:r>
                    <w:rPr>
                      <w:rFonts w:ascii="Arial" w:hAnsi="Arial" w:cs="Arial"/>
                      <w:sz w:val="20"/>
                      <w:szCs w:val="20"/>
                    </w:rPr>
                    <w:t>95.</w:t>
                  </w:r>
                  <w:r w:rsidR="00D138D6">
                    <w:rPr>
                      <w:rFonts w:ascii="Arial" w:hAnsi="Arial" w:cs="Arial"/>
                      <w:sz w:val="20"/>
                      <w:szCs w:val="20"/>
                    </w:rPr>
                    <w:t>8</w:t>
                  </w:r>
                  <w:r w:rsidR="00720501" w:rsidRPr="00322998">
                    <w:rPr>
                      <w:rFonts w:ascii="Arial" w:hAnsi="Arial" w:cs="Arial"/>
                      <w:sz w:val="20"/>
                      <w:szCs w:val="20"/>
                    </w:rPr>
                    <w:t>%</w:t>
                  </w:r>
                </w:p>
              </w:tc>
            </w:tr>
          </w:tbl>
          <w:p w14:paraId="2EE3F26B" w14:textId="77777777" w:rsidR="000C45FD" w:rsidRDefault="000C45FD" w:rsidP="00276C79">
            <w:pPr>
              <w:pStyle w:val="TableRowCentered"/>
              <w:ind w:left="0"/>
              <w:jc w:val="left"/>
              <w:rPr>
                <w:b/>
                <w:bCs/>
                <w:iCs/>
                <w:sz w:val="20"/>
              </w:rPr>
            </w:pPr>
          </w:p>
          <w:p w14:paraId="6459F05E" w14:textId="77777777" w:rsidR="000C45FD" w:rsidRDefault="000C45FD" w:rsidP="00276C79">
            <w:pPr>
              <w:pStyle w:val="TableRowCentered"/>
              <w:ind w:left="0"/>
              <w:jc w:val="left"/>
              <w:rPr>
                <w:b/>
                <w:bCs/>
                <w:iCs/>
                <w:sz w:val="20"/>
              </w:rPr>
            </w:pPr>
          </w:p>
          <w:p w14:paraId="3887B25B" w14:textId="38C02CA3" w:rsidR="00C461F0" w:rsidRDefault="00237948" w:rsidP="00276C79">
            <w:pPr>
              <w:pStyle w:val="TableRowCentered"/>
              <w:ind w:left="0"/>
              <w:jc w:val="left"/>
              <w:rPr>
                <w:b/>
                <w:bCs/>
                <w:iCs/>
                <w:sz w:val="20"/>
              </w:rPr>
            </w:pPr>
            <w:r>
              <w:rPr>
                <w:b/>
                <w:bCs/>
                <w:iCs/>
                <w:sz w:val="20"/>
              </w:rPr>
              <w:t>S</w:t>
            </w:r>
            <w:r w:rsidR="00C461F0" w:rsidRPr="00C461F0">
              <w:rPr>
                <w:b/>
                <w:bCs/>
                <w:iCs/>
                <w:sz w:val="20"/>
              </w:rPr>
              <w:t xml:space="preserve">ocial, </w:t>
            </w:r>
            <w:r w:rsidR="00C6342B" w:rsidRPr="00C461F0">
              <w:rPr>
                <w:b/>
                <w:bCs/>
                <w:iCs/>
                <w:sz w:val="20"/>
              </w:rPr>
              <w:t>emotional,</w:t>
            </w:r>
            <w:r w:rsidR="00C461F0" w:rsidRPr="00C461F0">
              <w:rPr>
                <w:b/>
                <w:bCs/>
                <w:iCs/>
                <w:sz w:val="20"/>
              </w:rPr>
              <w:t xml:space="preserve"> and behavioural support. </w:t>
            </w:r>
          </w:p>
          <w:p w14:paraId="27AC110E" w14:textId="43CFDE44" w:rsidR="00D50D5C" w:rsidRDefault="00FF2808" w:rsidP="00D50D5C">
            <w:pPr>
              <w:rPr>
                <w:rFonts w:cs="Arial"/>
                <w:sz w:val="20"/>
                <w:szCs w:val="20"/>
              </w:rPr>
            </w:pPr>
            <w:r w:rsidRPr="004A6E4F">
              <w:rPr>
                <w:iCs/>
                <w:sz w:val="20"/>
              </w:rPr>
              <w:t xml:space="preserve">In recent pupil surveys our disadvantaged pupils have spoken positively about the </w:t>
            </w:r>
            <w:r w:rsidR="00F71954" w:rsidRPr="004A6E4F">
              <w:rPr>
                <w:iCs/>
                <w:sz w:val="20"/>
              </w:rPr>
              <w:t xml:space="preserve">impact of assemblies, PSHE lessons and workshops </w:t>
            </w:r>
            <w:r w:rsidR="004A6E4F" w:rsidRPr="004A6E4F">
              <w:rPr>
                <w:iCs/>
                <w:sz w:val="20"/>
              </w:rPr>
              <w:t>in supporting their mental health an</w:t>
            </w:r>
            <w:r w:rsidR="00C6342B">
              <w:rPr>
                <w:iCs/>
                <w:sz w:val="20"/>
              </w:rPr>
              <w:t>d</w:t>
            </w:r>
            <w:r w:rsidR="004A6E4F" w:rsidRPr="004A6E4F">
              <w:rPr>
                <w:iCs/>
                <w:sz w:val="20"/>
              </w:rPr>
              <w:t xml:space="preserve"> well-being.  </w:t>
            </w:r>
            <w:r w:rsidR="004A6E4F">
              <w:rPr>
                <w:iCs/>
                <w:sz w:val="20"/>
              </w:rPr>
              <w:t xml:space="preserve">In recent surveys summer </w:t>
            </w:r>
            <w:r w:rsidR="004A6E4F" w:rsidRPr="00C47663">
              <w:rPr>
                <w:rFonts w:cs="Arial"/>
                <w:iCs/>
                <w:sz w:val="20"/>
              </w:rPr>
              <w:t>2024</w:t>
            </w:r>
            <w:r w:rsidR="004A6E4F" w:rsidRPr="00C47663">
              <w:rPr>
                <w:rFonts w:cs="Arial"/>
                <w:iCs/>
                <w:sz w:val="20"/>
                <w:szCs w:val="20"/>
              </w:rPr>
              <w:t xml:space="preserve">, </w:t>
            </w:r>
            <w:r w:rsidR="00C47663" w:rsidRPr="00C47663">
              <w:rPr>
                <w:rFonts w:cs="Arial"/>
                <w:iCs/>
                <w:sz w:val="20"/>
                <w:szCs w:val="20"/>
              </w:rPr>
              <w:t>o</w:t>
            </w:r>
            <w:r w:rsidR="00C47663" w:rsidRPr="00C47663">
              <w:rPr>
                <w:rFonts w:cs="Arial"/>
                <w:sz w:val="20"/>
                <w:szCs w:val="20"/>
              </w:rPr>
              <w:t xml:space="preserve">ver 95% of parents stated that they </w:t>
            </w:r>
            <w:r w:rsidR="00C47663" w:rsidRPr="00C47663">
              <w:rPr>
                <w:rFonts w:cs="Arial"/>
                <w:b/>
                <w:bCs/>
                <w:sz w:val="20"/>
                <w:szCs w:val="20"/>
              </w:rPr>
              <w:t>strongly agree</w:t>
            </w:r>
            <w:r w:rsidR="00C47663" w:rsidRPr="00C47663">
              <w:rPr>
                <w:rFonts w:cs="Arial"/>
                <w:sz w:val="20"/>
                <w:szCs w:val="20"/>
              </w:rPr>
              <w:t xml:space="preserve"> </w:t>
            </w:r>
            <w:r w:rsidR="00C47663" w:rsidRPr="00C47663">
              <w:rPr>
                <w:rFonts w:cs="Arial"/>
                <w:b/>
                <w:bCs/>
                <w:sz w:val="20"/>
                <w:szCs w:val="20"/>
              </w:rPr>
              <w:t>/ agree</w:t>
            </w:r>
            <w:r w:rsidR="00C47663" w:rsidRPr="00C47663">
              <w:rPr>
                <w:rFonts w:cs="Arial"/>
                <w:sz w:val="20"/>
                <w:szCs w:val="20"/>
              </w:rPr>
              <w:t xml:space="preserve"> </w:t>
            </w:r>
            <w:r w:rsidR="00AB1F7E">
              <w:rPr>
                <w:rFonts w:cs="Arial"/>
                <w:sz w:val="20"/>
                <w:szCs w:val="20"/>
              </w:rPr>
              <w:t xml:space="preserve">with these statements; </w:t>
            </w:r>
            <w:r w:rsidR="00C6342B">
              <w:rPr>
                <w:rFonts w:cs="Arial"/>
                <w:sz w:val="20"/>
                <w:szCs w:val="20"/>
              </w:rPr>
              <w:t>m</w:t>
            </w:r>
            <w:r w:rsidR="00C47663" w:rsidRPr="00C47663">
              <w:rPr>
                <w:rFonts w:cs="Arial"/>
                <w:sz w:val="20"/>
                <w:szCs w:val="20"/>
              </w:rPr>
              <w:t>y child is happy at this school</w:t>
            </w:r>
            <w:r w:rsidR="00AB1F7E">
              <w:rPr>
                <w:rFonts w:cs="Arial"/>
                <w:sz w:val="20"/>
                <w:szCs w:val="20"/>
              </w:rPr>
              <w:t>; m</w:t>
            </w:r>
            <w:r w:rsidR="00C47663" w:rsidRPr="00C47663">
              <w:rPr>
                <w:rFonts w:cs="Arial"/>
                <w:sz w:val="20"/>
                <w:szCs w:val="20"/>
              </w:rPr>
              <w:t>y child feels safe at this school</w:t>
            </w:r>
            <w:r w:rsidR="00AB1F7E">
              <w:rPr>
                <w:rFonts w:cs="Arial"/>
                <w:sz w:val="20"/>
                <w:szCs w:val="20"/>
              </w:rPr>
              <w:t>; t</w:t>
            </w:r>
            <w:r w:rsidR="00C47663" w:rsidRPr="00C47663">
              <w:rPr>
                <w:rFonts w:cs="Arial"/>
                <w:sz w:val="20"/>
                <w:szCs w:val="20"/>
              </w:rPr>
              <w:t>he school makes sure its pupils are well behaved</w:t>
            </w:r>
            <w:r w:rsidR="00482C74">
              <w:rPr>
                <w:rFonts w:cs="Arial"/>
                <w:sz w:val="20"/>
                <w:szCs w:val="20"/>
              </w:rPr>
              <w:t>; t</w:t>
            </w:r>
            <w:r w:rsidR="00C47663" w:rsidRPr="00C47663">
              <w:rPr>
                <w:rFonts w:cs="Arial"/>
                <w:sz w:val="20"/>
                <w:szCs w:val="20"/>
              </w:rPr>
              <w:t xml:space="preserve">he school supports my child’s wider personal development. </w:t>
            </w:r>
            <w:r w:rsidR="00482C74">
              <w:rPr>
                <w:rFonts w:cs="Arial"/>
                <w:sz w:val="20"/>
                <w:szCs w:val="20"/>
              </w:rPr>
              <w:t xml:space="preserve"> School </w:t>
            </w:r>
            <w:r w:rsidR="00C135CA">
              <w:rPr>
                <w:rFonts w:cs="Arial"/>
                <w:sz w:val="20"/>
                <w:szCs w:val="20"/>
              </w:rPr>
              <w:t xml:space="preserve">has worked with 6 families during the academic year 2023-24 to provide tailored support </w:t>
            </w:r>
            <w:r w:rsidR="00276C79">
              <w:rPr>
                <w:rFonts w:cs="Arial"/>
                <w:sz w:val="20"/>
                <w:szCs w:val="20"/>
              </w:rPr>
              <w:t xml:space="preserve">through an Early Help plan.   </w:t>
            </w:r>
          </w:p>
          <w:p w14:paraId="0275804F" w14:textId="5602A26F" w:rsidR="00C461F0" w:rsidRDefault="00B856DC" w:rsidP="00D50D5C">
            <w:pPr>
              <w:rPr>
                <w:rFonts w:cs="Arial"/>
                <w:sz w:val="20"/>
                <w:szCs w:val="20"/>
              </w:rPr>
            </w:pPr>
            <w:r>
              <w:rPr>
                <w:rFonts w:cs="Arial"/>
                <w:sz w:val="20"/>
                <w:szCs w:val="20"/>
              </w:rPr>
              <w:t xml:space="preserve">The numbers of whole school behavioural incidents </w:t>
            </w:r>
            <w:r w:rsidR="000B03E0">
              <w:rPr>
                <w:rFonts w:cs="Arial"/>
                <w:sz w:val="20"/>
                <w:szCs w:val="20"/>
              </w:rPr>
              <w:t>have</w:t>
            </w:r>
            <w:r>
              <w:rPr>
                <w:rFonts w:cs="Arial"/>
                <w:sz w:val="20"/>
                <w:szCs w:val="20"/>
              </w:rPr>
              <w:t xml:space="preserve"> decreased across the year, the number o</w:t>
            </w:r>
            <w:r w:rsidR="002672BF">
              <w:rPr>
                <w:rFonts w:cs="Arial"/>
                <w:sz w:val="20"/>
                <w:szCs w:val="20"/>
              </w:rPr>
              <w:t xml:space="preserve">f disadvantaged pupils involved within these incidents has also decreased.  </w:t>
            </w:r>
            <w:r w:rsidR="00D50D5C">
              <w:rPr>
                <w:rFonts w:cs="Arial"/>
                <w:sz w:val="20"/>
                <w:szCs w:val="20"/>
              </w:rPr>
              <w:t xml:space="preserve">There </w:t>
            </w:r>
            <w:r w:rsidR="00747E49">
              <w:rPr>
                <w:rFonts w:cs="Arial"/>
                <w:sz w:val="20"/>
                <w:szCs w:val="20"/>
              </w:rPr>
              <w:t>remains</w:t>
            </w:r>
            <w:r w:rsidR="00D50D5C">
              <w:rPr>
                <w:rFonts w:cs="Arial"/>
                <w:sz w:val="20"/>
                <w:szCs w:val="20"/>
              </w:rPr>
              <w:t xml:space="preserve"> interventions and specific work support to be completed for some disadvantaged pupils through small group or 1:1 support from our Trust Emotional and behaviour support leader. </w:t>
            </w:r>
          </w:p>
          <w:p w14:paraId="044B7A11" w14:textId="24936AFD" w:rsidR="00E62861" w:rsidRDefault="00E62861" w:rsidP="00D50D5C">
            <w:pPr>
              <w:rPr>
                <w:rFonts w:cs="Arial"/>
                <w:sz w:val="20"/>
                <w:szCs w:val="20"/>
              </w:rPr>
            </w:pPr>
            <w:r>
              <w:rPr>
                <w:rFonts w:cs="Arial"/>
                <w:sz w:val="20"/>
                <w:szCs w:val="20"/>
              </w:rPr>
              <w:t xml:space="preserve">2024-2025 </w:t>
            </w:r>
            <w:r w:rsidR="00435F63">
              <w:rPr>
                <w:rFonts w:cs="Arial"/>
                <w:sz w:val="20"/>
                <w:szCs w:val="20"/>
              </w:rPr>
              <w:t>–</w:t>
            </w:r>
            <w:r>
              <w:rPr>
                <w:rFonts w:cs="Arial"/>
                <w:sz w:val="20"/>
                <w:szCs w:val="20"/>
              </w:rPr>
              <w:t xml:space="preserve"> </w:t>
            </w:r>
            <w:r w:rsidR="00435F63">
              <w:rPr>
                <w:rFonts w:cs="Arial"/>
                <w:sz w:val="20"/>
                <w:szCs w:val="20"/>
              </w:rPr>
              <w:t xml:space="preserve">academic year updates.  Results from pupil surveys highlighted that our disadvantaged pupils </w:t>
            </w:r>
            <w:r w:rsidR="00055F11">
              <w:rPr>
                <w:rFonts w:cs="Arial"/>
                <w:sz w:val="20"/>
                <w:szCs w:val="20"/>
              </w:rPr>
              <w:t xml:space="preserve">continue to speak positively about the impact of assemblies, visitors to school, workshops, trips and residentials.  </w:t>
            </w:r>
            <w:r w:rsidR="00E4535D">
              <w:rPr>
                <w:rFonts w:cs="Arial"/>
                <w:sz w:val="20"/>
                <w:szCs w:val="20"/>
              </w:rPr>
              <w:t>Our summer survey s</w:t>
            </w:r>
            <w:r w:rsidR="00DC148D">
              <w:rPr>
                <w:rFonts w:cs="Arial"/>
                <w:sz w:val="20"/>
                <w:szCs w:val="20"/>
              </w:rPr>
              <w:t>ummer 2025</w:t>
            </w:r>
            <w:r w:rsidR="00ED7722">
              <w:rPr>
                <w:rFonts w:cs="Arial"/>
                <w:sz w:val="20"/>
                <w:szCs w:val="20"/>
              </w:rPr>
              <w:t xml:space="preserve">, over 96% of parents and carers stated that they strongly agree / agree </w:t>
            </w:r>
            <w:r w:rsidR="00823461">
              <w:rPr>
                <w:rFonts w:cs="Arial"/>
                <w:sz w:val="20"/>
                <w:szCs w:val="20"/>
              </w:rPr>
              <w:t>that: my child is happy at this school, child feels safe, the school makes sure that pupils are well behaved</w:t>
            </w:r>
            <w:r w:rsidR="00AA06A0">
              <w:rPr>
                <w:rFonts w:cs="Arial"/>
                <w:sz w:val="20"/>
                <w:szCs w:val="20"/>
              </w:rPr>
              <w:t xml:space="preserve">, my child does well at this school and </w:t>
            </w:r>
            <w:r w:rsidR="00DC0B74">
              <w:rPr>
                <w:rFonts w:cs="Arial"/>
                <w:sz w:val="20"/>
                <w:szCs w:val="20"/>
              </w:rPr>
              <w:lastRenderedPageBreak/>
              <w:t xml:space="preserve">school provides wider opportunities throughout the year. </w:t>
            </w:r>
            <w:r w:rsidR="00D863A0">
              <w:rPr>
                <w:rFonts w:cs="Arial"/>
                <w:sz w:val="20"/>
                <w:szCs w:val="20"/>
              </w:rPr>
              <w:t xml:space="preserve"> School continues to work with vulnerable pupils and families throughout the year to provide specific support in school and </w:t>
            </w:r>
            <w:r w:rsidR="00A35944">
              <w:rPr>
                <w:rFonts w:cs="Arial"/>
                <w:sz w:val="20"/>
                <w:szCs w:val="20"/>
              </w:rPr>
              <w:t xml:space="preserve">signpost parents to external support.  </w:t>
            </w:r>
          </w:p>
          <w:p w14:paraId="3FFEA87F" w14:textId="1C7CB56F" w:rsidR="00A35944" w:rsidRPr="00D50D5C" w:rsidRDefault="00A35944" w:rsidP="00D50D5C">
            <w:pPr>
              <w:rPr>
                <w:rFonts w:cs="Arial"/>
                <w:sz w:val="20"/>
                <w:szCs w:val="20"/>
              </w:rPr>
            </w:pPr>
            <w:r>
              <w:rPr>
                <w:rFonts w:cs="Arial"/>
                <w:sz w:val="20"/>
                <w:szCs w:val="20"/>
              </w:rPr>
              <w:t xml:space="preserve">The number of behaviour incidents has continued to remain </w:t>
            </w:r>
            <w:r w:rsidR="00083046">
              <w:rPr>
                <w:rFonts w:cs="Arial"/>
                <w:sz w:val="20"/>
                <w:szCs w:val="20"/>
              </w:rPr>
              <w:t>low,</w:t>
            </w:r>
            <w:r w:rsidR="00F572EF">
              <w:rPr>
                <w:rFonts w:cs="Arial"/>
                <w:sz w:val="20"/>
                <w:szCs w:val="20"/>
              </w:rPr>
              <w:t xml:space="preserve"> and the number of disadvantaged pupils involved in incidents ha</w:t>
            </w:r>
            <w:r w:rsidR="008E37FA">
              <w:rPr>
                <w:rFonts w:cs="Arial"/>
                <w:sz w:val="20"/>
                <w:szCs w:val="20"/>
              </w:rPr>
              <w:t>ve</w:t>
            </w:r>
            <w:r w:rsidR="00F572EF">
              <w:rPr>
                <w:rFonts w:cs="Arial"/>
                <w:sz w:val="20"/>
                <w:szCs w:val="20"/>
              </w:rPr>
              <w:t xml:space="preserve"> not increased</w:t>
            </w:r>
            <w:r w:rsidR="00083046">
              <w:rPr>
                <w:rFonts w:cs="Arial"/>
                <w:sz w:val="20"/>
                <w:szCs w:val="20"/>
              </w:rPr>
              <w:t>. School continues to provide bespoke emotional and behavioural support for identified pupils</w:t>
            </w:r>
            <w:r w:rsidR="00742365">
              <w:rPr>
                <w:rFonts w:cs="Arial"/>
                <w:sz w:val="20"/>
                <w:szCs w:val="20"/>
              </w:rPr>
              <w:t>.  School also works closely with external well-being and mental health support in providing 1:1 session</w:t>
            </w:r>
            <w:r w:rsidR="008D2F67">
              <w:rPr>
                <w:rFonts w:cs="Arial"/>
                <w:sz w:val="20"/>
                <w:szCs w:val="20"/>
              </w:rPr>
              <w:t xml:space="preserve"> </w:t>
            </w:r>
            <w:r w:rsidR="00742365">
              <w:rPr>
                <w:rFonts w:cs="Arial"/>
                <w:sz w:val="20"/>
                <w:szCs w:val="20"/>
              </w:rPr>
              <w:t xml:space="preserve">for pupils and parents. </w:t>
            </w:r>
          </w:p>
          <w:p w14:paraId="029618D3" w14:textId="41BAD70B" w:rsidR="00C461F0" w:rsidRDefault="00C461F0" w:rsidP="00747E49">
            <w:pPr>
              <w:pStyle w:val="TableRowCentered"/>
              <w:ind w:left="0"/>
              <w:jc w:val="left"/>
              <w:rPr>
                <w:b/>
                <w:bCs/>
                <w:iCs/>
                <w:sz w:val="20"/>
              </w:rPr>
            </w:pPr>
            <w:r>
              <w:rPr>
                <w:b/>
                <w:bCs/>
                <w:iCs/>
                <w:sz w:val="20"/>
              </w:rPr>
              <w:t>W</w:t>
            </w:r>
            <w:r w:rsidRPr="00C461F0">
              <w:rPr>
                <w:b/>
                <w:bCs/>
                <w:iCs/>
                <w:sz w:val="20"/>
              </w:rPr>
              <w:t xml:space="preserve">ider </w:t>
            </w:r>
            <w:r>
              <w:rPr>
                <w:b/>
                <w:bCs/>
                <w:iCs/>
                <w:sz w:val="20"/>
              </w:rPr>
              <w:t xml:space="preserve">opportunities </w:t>
            </w:r>
          </w:p>
          <w:p w14:paraId="09FFB2B4" w14:textId="217C5C8B" w:rsidR="00386DA2" w:rsidRPr="0051331D" w:rsidRDefault="00386DA2" w:rsidP="0051331D">
            <w:pPr>
              <w:rPr>
                <w:sz w:val="20"/>
                <w:szCs w:val="20"/>
              </w:rPr>
            </w:pPr>
            <w:r w:rsidRPr="0051331D">
              <w:rPr>
                <w:sz w:val="20"/>
                <w:szCs w:val="20"/>
              </w:rPr>
              <w:t xml:space="preserve">Pupils have limited </w:t>
            </w:r>
            <w:r w:rsidR="00680858" w:rsidRPr="0051331D">
              <w:rPr>
                <w:sz w:val="20"/>
                <w:szCs w:val="20"/>
              </w:rPr>
              <w:t xml:space="preserve">experiences beyond the school environment in 2023-24, year 2, 4 and </w:t>
            </w:r>
            <w:r w:rsidR="007F47CA" w:rsidRPr="0051331D">
              <w:rPr>
                <w:sz w:val="20"/>
                <w:szCs w:val="20"/>
              </w:rPr>
              <w:t xml:space="preserve">6 </w:t>
            </w:r>
            <w:r w:rsidR="00E17AB6" w:rsidRPr="0051331D">
              <w:rPr>
                <w:sz w:val="20"/>
                <w:szCs w:val="20"/>
              </w:rPr>
              <w:t>pupils attended residential.  Every disadvantaged pupil</w:t>
            </w:r>
            <w:r w:rsidR="00DC3554" w:rsidRPr="0051331D">
              <w:rPr>
                <w:sz w:val="20"/>
                <w:szCs w:val="20"/>
              </w:rPr>
              <w:t xml:space="preserve"> in the year groups attended the residentials, which was subsid</w:t>
            </w:r>
            <w:r w:rsidR="007411D4" w:rsidRPr="0051331D">
              <w:rPr>
                <w:sz w:val="20"/>
                <w:szCs w:val="20"/>
              </w:rPr>
              <w:t xml:space="preserve">ised by school. All classes across school have experienced a range of educational visits </w:t>
            </w:r>
            <w:r w:rsidR="008D660F" w:rsidRPr="0051331D">
              <w:rPr>
                <w:sz w:val="20"/>
                <w:szCs w:val="20"/>
              </w:rPr>
              <w:t>throughout the year and disadvantaged pupils were provided with opportunity to attend all</w:t>
            </w:r>
            <w:r w:rsidR="00B04856" w:rsidRPr="0051331D">
              <w:rPr>
                <w:sz w:val="20"/>
                <w:szCs w:val="20"/>
              </w:rPr>
              <w:t xml:space="preserve">, if finances were a barrier to their attendance.  </w:t>
            </w:r>
            <w:r w:rsidR="000172C0" w:rsidRPr="0051331D">
              <w:rPr>
                <w:sz w:val="20"/>
                <w:szCs w:val="20"/>
              </w:rPr>
              <w:t xml:space="preserve">In 2023-24, all pupils across school were offered a range of extra-curricular </w:t>
            </w:r>
            <w:r w:rsidR="002A4428" w:rsidRPr="0051331D">
              <w:rPr>
                <w:sz w:val="20"/>
                <w:szCs w:val="20"/>
              </w:rPr>
              <w:t xml:space="preserve">clubs free of charge including: netball, multi-sports, athletics, cricket, Wild tribe, arts and crafts, </w:t>
            </w:r>
            <w:r w:rsidR="003A4A80" w:rsidRPr="0051331D">
              <w:rPr>
                <w:sz w:val="20"/>
                <w:szCs w:val="20"/>
              </w:rPr>
              <w:t xml:space="preserve">stay and play, cross-stitch, </w:t>
            </w:r>
            <w:r w:rsidR="00B374F1" w:rsidRPr="0051331D">
              <w:rPr>
                <w:sz w:val="20"/>
                <w:szCs w:val="20"/>
              </w:rPr>
              <w:t xml:space="preserve">football, rounders and science club. </w:t>
            </w:r>
          </w:p>
          <w:p w14:paraId="4791171F" w14:textId="77777777" w:rsidR="00C461F0" w:rsidRPr="00C461F0" w:rsidRDefault="00C461F0" w:rsidP="00C461F0">
            <w:pPr>
              <w:pStyle w:val="TableRowCentered"/>
              <w:jc w:val="left"/>
              <w:rPr>
                <w:b/>
                <w:bCs/>
                <w:sz w:val="20"/>
              </w:rPr>
            </w:pPr>
          </w:p>
          <w:p w14:paraId="6568CCAD" w14:textId="4D6C62AF" w:rsidR="00406001" w:rsidRPr="00346A15" w:rsidRDefault="00357FA2" w:rsidP="00346A15">
            <w:pPr>
              <w:rPr>
                <w:sz w:val="20"/>
                <w:szCs w:val="20"/>
              </w:rPr>
            </w:pPr>
            <w:r w:rsidRPr="00346A15">
              <w:rPr>
                <w:sz w:val="20"/>
                <w:szCs w:val="20"/>
              </w:rPr>
              <w:t xml:space="preserve">In 2024-25, pupils </w:t>
            </w:r>
            <w:r w:rsidR="001F632B" w:rsidRPr="00346A15">
              <w:rPr>
                <w:sz w:val="20"/>
                <w:szCs w:val="20"/>
              </w:rPr>
              <w:t xml:space="preserve">have been </w:t>
            </w:r>
            <w:r w:rsidRPr="00346A15">
              <w:rPr>
                <w:sz w:val="20"/>
                <w:szCs w:val="20"/>
              </w:rPr>
              <w:t xml:space="preserve">provided with a variety of </w:t>
            </w:r>
            <w:r w:rsidR="001F632B" w:rsidRPr="00346A15">
              <w:rPr>
                <w:sz w:val="20"/>
                <w:szCs w:val="20"/>
              </w:rPr>
              <w:t xml:space="preserve">experiences during the year.  School has continued to support our disadvantaged pupils with subsidised costs of trips and residentials to ensure that all pupils can access the wider opportunities.  </w:t>
            </w:r>
            <w:r w:rsidR="00BB6864" w:rsidRPr="00346A15">
              <w:rPr>
                <w:sz w:val="20"/>
                <w:szCs w:val="20"/>
              </w:rPr>
              <w:t xml:space="preserve">All classes across school have accessed an educational trip, a school visitor and </w:t>
            </w:r>
            <w:r w:rsidR="00197579" w:rsidRPr="00346A15">
              <w:rPr>
                <w:sz w:val="20"/>
                <w:szCs w:val="20"/>
              </w:rPr>
              <w:t xml:space="preserve">a range of inspiration days linked to their topics.  Our extra-curricular clubs are well attended by our disadvantaged pupils </w:t>
            </w:r>
            <w:r w:rsidR="00FB7D6C" w:rsidRPr="00346A15">
              <w:rPr>
                <w:sz w:val="20"/>
                <w:szCs w:val="20"/>
              </w:rPr>
              <w:t>free of charge.  These have included:  football club, multi-sports, computing, board games, arts and crafts, Lego club, dance, netball, gymnastics</w:t>
            </w:r>
            <w:r w:rsidR="0015386B" w:rsidRPr="00346A15">
              <w:rPr>
                <w:sz w:val="20"/>
                <w:szCs w:val="20"/>
              </w:rPr>
              <w:t xml:space="preserve">, animation and </w:t>
            </w:r>
            <w:r w:rsidR="00346A15" w:rsidRPr="00346A15">
              <w:rPr>
                <w:sz w:val="20"/>
                <w:szCs w:val="20"/>
              </w:rPr>
              <w:t xml:space="preserve">music club. </w:t>
            </w:r>
          </w:p>
        </w:tc>
      </w:tr>
    </w:tbl>
    <w:p w14:paraId="1512A66B" w14:textId="77777777" w:rsidR="00D50D5C" w:rsidRPr="00D50D5C" w:rsidRDefault="00D50D5C" w:rsidP="00D50D5C"/>
    <w:p w14:paraId="30EFCBFC" w14:textId="77777777" w:rsidR="00747E49" w:rsidRDefault="00747E49" w:rsidP="00406001">
      <w:pPr>
        <w:pStyle w:val="Heading2"/>
        <w:spacing w:before="600"/>
      </w:pPr>
    </w:p>
    <w:p w14:paraId="420B6F42" w14:textId="77777777" w:rsidR="00747E49" w:rsidRDefault="00747E49" w:rsidP="00406001">
      <w:pPr>
        <w:pStyle w:val="Heading2"/>
        <w:spacing w:before="600"/>
      </w:pPr>
    </w:p>
    <w:p w14:paraId="462BD7C2" w14:textId="77777777" w:rsidR="00747E49" w:rsidRPr="00747E49" w:rsidRDefault="00747E49" w:rsidP="00747E49"/>
    <w:p w14:paraId="70E62DA9" w14:textId="725F0338" w:rsidR="00406001" w:rsidRDefault="00406001" w:rsidP="00406001">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7391"/>
        <w:gridCol w:w="7169"/>
      </w:tblGrid>
      <w:tr w:rsidR="00406001" w14:paraId="7B6FD637"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9729AB1" w14:textId="77777777" w:rsidR="00406001" w:rsidRDefault="00406001" w:rsidP="00E656BC">
            <w:pPr>
              <w:pStyle w:val="TableHeader"/>
              <w:jc w:val="left"/>
            </w:pPr>
            <w:r>
              <w:t>Programme</w:t>
            </w:r>
          </w:p>
        </w:tc>
        <w:tc>
          <w:tcPr>
            <w:tcW w:w="71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CA545B4" w14:textId="77777777" w:rsidR="00406001" w:rsidRDefault="00406001" w:rsidP="00E656BC">
            <w:pPr>
              <w:pStyle w:val="TableHeader"/>
              <w:jc w:val="left"/>
            </w:pPr>
            <w:r>
              <w:t>Provider</w:t>
            </w:r>
          </w:p>
        </w:tc>
      </w:tr>
      <w:tr w:rsidR="00406001" w14:paraId="219012B5"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9F54B" w14:textId="77777777" w:rsidR="00406001" w:rsidRDefault="00406001" w:rsidP="00E656BC">
            <w:pPr>
              <w:pStyle w:val="TableRow"/>
            </w:pPr>
            <w:r>
              <w:t xml:space="preserve">X Table Rockstars </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3F4B8" w14:textId="77777777" w:rsidR="00406001" w:rsidRDefault="00406001" w:rsidP="00E656BC">
            <w:pPr>
              <w:pStyle w:val="TableRowCentered"/>
              <w:jc w:val="left"/>
            </w:pPr>
            <w:r>
              <w:t>TT Rockstars</w:t>
            </w:r>
          </w:p>
        </w:tc>
      </w:tr>
      <w:tr w:rsidR="00406001" w14:paraId="584FBC7E"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A77C1" w14:textId="77777777" w:rsidR="00406001" w:rsidRDefault="00406001" w:rsidP="00E656BC">
            <w:pPr>
              <w:pStyle w:val="TableRow"/>
            </w:pPr>
            <w:r>
              <w:t>Purple Mash</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0454" w14:textId="77777777" w:rsidR="00406001" w:rsidRDefault="00406001" w:rsidP="00E656BC">
            <w:pPr>
              <w:pStyle w:val="TableRowCentered"/>
              <w:jc w:val="left"/>
            </w:pPr>
            <w:r>
              <w:t>2Simple</w:t>
            </w:r>
          </w:p>
        </w:tc>
      </w:tr>
      <w:tr w:rsidR="007B0B9D" w14:paraId="59444391"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6D262" w14:textId="6033DC31" w:rsidR="007B0B9D" w:rsidRDefault="007B0B9D" w:rsidP="00E656BC">
            <w:pPr>
              <w:pStyle w:val="TableRow"/>
            </w:pPr>
            <w:r>
              <w:t xml:space="preserve">Life lessons </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1FAEE" w14:textId="54A1E77F" w:rsidR="007B0B9D" w:rsidRDefault="004D53CC" w:rsidP="00E656BC">
            <w:pPr>
              <w:pStyle w:val="TableRowCentered"/>
              <w:jc w:val="left"/>
            </w:pPr>
            <w:r>
              <w:t>Life Lessons Education</w:t>
            </w:r>
          </w:p>
        </w:tc>
      </w:tr>
      <w:tr w:rsidR="00406001" w14:paraId="5BF79C1B"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D5DE5" w14:textId="77777777" w:rsidR="00406001" w:rsidRDefault="00406001" w:rsidP="00E656BC">
            <w:pPr>
              <w:pStyle w:val="TableRow"/>
            </w:pPr>
            <w:r>
              <w:t>Charanga</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7E8B7" w14:textId="77777777" w:rsidR="00406001" w:rsidRDefault="00406001" w:rsidP="00E656BC">
            <w:pPr>
              <w:pStyle w:val="TableRowCentered"/>
              <w:jc w:val="left"/>
            </w:pPr>
            <w:r>
              <w:t>Charanga Ltd</w:t>
            </w:r>
          </w:p>
        </w:tc>
      </w:tr>
      <w:tr w:rsidR="00406001" w14:paraId="0DA2B884"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C99AA" w14:textId="77777777" w:rsidR="00406001" w:rsidRDefault="00406001" w:rsidP="00E656BC">
            <w:pPr>
              <w:pStyle w:val="TableRow"/>
            </w:pPr>
            <w:r>
              <w:t>Dimensions</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F123" w14:textId="77777777" w:rsidR="00406001" w:rsidRDefault="00406001" w:rsidP="00E656BC">
            <w:pPr>
              <w:pStyle w:val="TableRowCentered"/>
              <w:jc w:val="left"/>
            </w:pPr>
            <w:r>
              <w:t>Learning Means the World</w:t>
            </w:r>
          </w:p>
        </w:tc>
      </w:tr>
      <w:tr w:rsidR="00406001" w14:paraId="0A26AAAD"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498A" w14:textId="77777777" w:rsidR="00406001" w:rsidRDefault="00406001" w:rsidP="00E656BC">
            <w:pPr>
              <w:pStyle w:val="TableRow"/>
            </w:pPr>
            <w:r>
              <w:t xml:space="preserve">Floppy’s Phonics </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B05B4" w14:textId="77777777" w:rsidR="00406001" w:rsidRDefault="00406001" w:rsidP="00E656BC">
            <w:pPr>
              <w:pStyle w:val="TableRowCentered"/>
              <w:jc w:val="left"/>
            </w:pPr>
            <w:r>
              <w:t>Oxford University Press</w:t>
            </w:r>
          </w:p>
        </w:tc>
      </w:tr>
      <w:tr w:rsidR="00343D69" w14:paraId="713FA500"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9596" w14:textId="08B87BBA" w:rsidR="00343D69" w:rsidRDefault="00343D69" w:rsidP="00E656BC">
            <w:pPr>
              <w:pStyle w:val="TableRow"/>
            </w:pPr>
            <w:r>
              <w:t xml:space="preserve">Ten Town </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7763C" w14:textId="1C96EDA1" w:rsidR="00343D69" w:rsidRDefault="009F2E01" w:rsidP="00E656BC">
            <w:pPr>
              <w:pStyle w:val="TableRowCentered"/>
              <w:jc w:val="left"/>
            </w:pPr>
            <w:r>
              <w:t xml:space="preserve">Ten Town Ltd </w:t>
            </w:r>
          </w:p>
        </w:tc>
      </w:tr>
      <w:tr w:rsidR="004B42F8" w14:paraId="163CD529"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7DCC" w14:textId="71467AF1" w:rsidR="004B42F8" w:rsidRDefault="004B42F8" w:rsidP="00E656BC">
            <w:pPr>
              <w:pStyle w:val="TableRow"/>
            </w:pPr>
            <w:r>
              <w:t>Online resources and spellings lessons</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C8AA" w14:textId="7DD9A6EA" w:rsidR="004B42F8" w:rsidRDefault="004B42F8" w:rsidP="00E656BC">
            <w:pPr>
              <w:pStyle w:val="TableRowCentered"/>
              <w:jc w:val="left"/>
            </w:pPr>
            <w:r>
              <w:t>Oak Academ</w:t>
            </w:r>
            <w:r w:rsidR="00696FD0">
              <w:t xml:space="preserve">y </w:t>
            </w:r>
          </w:p>
        </w:tc>
      </w:tr>
      <w:tr w:rsidR="00696FD0" w14:paraId="2C892D4A"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79F87" w14:textId="79149DEF" w:rsidR="00696FD0" w:rsidRDefault="00696FD0" w:rsidP="00E656BC">
            <w:pPr>
              <w:pStyle w:val="TableRow"/>
            </w:pPr>
            <w:r>
              <w:t xml:space="preserve">Handwriting scheme </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FE8F7" w14:textId="710D6BC5" w:rsidR="00696FD0" w:rsidRDefault="00696FD0" w:rsidP="00E656BC">
            <w:pPr>
              <w:pStyle w:val="TableRowCentered"/>
              <w:jc w:val="left"/>
            </w:pPr>
            <w:r>
              <w:t>Nelson</w:t>
            </w:r>
          </w:p>
        </w:tc>
      </w:tr>
      <w:tr w:rsidR="00353288" w14:paraId="42CA1D04"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68CCF" w14:textId="297619DB" w:rsidR="00353288" w:rsidRDefault="00353288" w:rsidP="00E656BC">
            <w:pPr>
              <w:pStyle w:val="TableRow"/>
            </w:pPr>
            <w:r>
              <w:t xml:space="preserve">Online resource bank – all subjects </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4AA67" w14:textId="0C89929B" w:rsidR="00353288" w:rsidRDefault="00353288" w:rsidP="00E656BC">
            <w:pPr>
              <w:pStyle w:val="TableRowCentered"/>
              <w:jc w:val="left"/>
            </w:pPr>
            <w:r>
              <w:t>Twinkl</w:t>
            </w:r>
          </w:p>
        </w:tc>
      </w:tr>
      <w:tr w:rsidR="00353288" w14:paraId="6EC60B5C"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C46D2" w14:textId="6B8EFEEA" w:rsidR="00353288" w:rsidRDefault="005F6A5F" w:rsidP="00E656BC">
            <w:pPr>
              <w:pStyle w:val="TableRow"/>
            </w:pPr>
            <w:r>
              <w:t xml:space="preserve">Professional development support </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5A921" w14:textId="4C84943A" w:rsidR="00353288" w:rsidRDefault="005F6A5F" w:rsidP="00E656BC">
            <w:pPr>
              <w:pStyle w:val="TableRowCentered"/>
              <w:jc w:val="left"/>
            </w:pPr>
            <w:r>
              <w:t>NCETM</w:t>
            </w:r>
          </w:p>
        </w:tc>
      </w:tr>
      <w:tr w:rsidR="005F6A5F" w14:paraId="6DF05A41"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D754E" w14:textId="744DFD35" w:rsidR="005F6A5F" w:rsidRDefault="006E2D32" w:rsidP="00E656BC">
            <w:pPr>
              <w:pStyle w:val="TableRow"/>
            </w:pPr>
            <w:r>
              <w:t>Reading intervention</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A29BF" w14:textId="0C65B7ED" w:rsidR="005F6A5F" w:rsidRDefault="006E2D32" w:rsidP="00E656BC">
            <w:pPr>
              <w:pStyle w:val="TableRowCentered"/>
              <w:jc w:val="left"/>
            </w:pPr>
            <w:r>
              <w:t>Project X</w:t>
            </w:r>
          </w:p>
        </w:tc>
      </w:tr>
      <w:tr w:rsidR="006E2D32" w14:paraId="65421065"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8C5C2" w14:textId="5E1D766F" w:rsidR="006E2D32" w:rsidRDefault="006E2D32" w:rsidP="00E656BC">
            <w:pPr>
              <w:pStyle w:val="TableRow"/>
            </w:pPr>
            <w:r>
              <w:t xml:space="preserve">Foreign language resources </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7486B" w14:textId="09FEDED8" w:rsidR="006E2D32" w:rsidRDefault="006E2D32" w:rsidP="00E656BC">
            <w:pPr>
              <w:pStyle w:val="TableRowCentered"/>
              <w:jc w:val="left"/>
            </w:pPr>
            <w:r>
              <w:t>Language Angels</w:t>
            </w:r>
          </w:p>
        </w:tc>
      </w:tr>
      <w:tr w:rsidR="006B5E16" w14:paraId="20CD877C" w14:textId="77777777" w:rsidTr="0023642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9308D" w14:textId="479CB412" w:rsidR="006B5E16" w:rsidRDefault="00DD78FF" w:rsidP="00E656BC">
            <w:pPr>
              <w:pStyle w:val="TableRow"/>
            </w:pPr>
            <w:r>
              <w:t xml:space="preserve">Hamish and Milo </w:t>
            </w:r>
            <w:r w:rsidR="00FD3768">
              <w:t xml:space="preserve">Well-being </w:t>
            </w:r>
            <w:r w:rsidR="008C0ED6">
              <w:t xml:space="preserve">resources </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873C1" w14:textId="77777777" w:rsidR="006B5E16" w:rsidRDefault="006B5E16" w:rsidP="00E656BC">
            <w:pPr>
              <w:pStyle w:val="TableRowCentered"/>
              <w:jc w:val="left"/>
            </w:pPr>
          </w:p>
        </w:tc>
      </w:tr>
    </w:tbl>
    <w:p w14:paraId="2A7D5564" w14:textId="77777777" w:rsidR="00E66558" w:rsidRDefault="00E66558" w:rsidP="00406001">
      <w:pPr>
        <w:pStyle w:val="Heading1"/>
      </w:pPr>
    </w:p>
    <w:sectPr w:rsidR="00E66558" w:rsidSect="0063730F">
      <w:headerReference w:type="default" r:id="rId26"/>
      <w:footerReference w:type="default" r:id="rId27"/>
      <w:pgSz w:w="16838" w:h="11906" w:orient="landscape"/>
      <w:pgMar w:top="1134" w:right="1134" w:bottom="1276"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47157" w14:textId="77777777" w:rsidR="00A52A7F" w:rsidRDefault="00A52A7F">
      <w:pPr>
        <w:spacing w:after="0" w:line="240" w:lineRule="auto"/>
      </w:pPr>
      <w:r>
        <w:separator/>
      </w:r>
    </w:p>
  </w:endnote>
  <w:endnote w:type="continuationSeparator" w:id="0">
    <w:p w14:paraId="1926F630" w14:textId="77777777" w:rsidR="00A52A7F" w:rsidRDefault="00A52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27555A28" w:rsidR="00BE246E" w:rsidRDefault="00BE246E">
    <w:pPr>
      <w:pStyle w:val="Footer"/>
      <w:ind w:firstLine="4513"/>
    </w:pPr>
    <w:r>
      <w:fldChar w:fldCharType="begin"/>
    </w:r>
    <w:r>
      <w:instrText xml:space="preserve"> PAGE </w:instrText>
    </w:r>
    <w:r>
      <w:fldChar w:fldCharType="separate"/>
    </w:r>
    <w:r w:rsidR="00136438">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098E" w14:textId="77777777" w:rsidR="00A52A7F" w:rsidRDefault="00A52A7F">
      <w:pPr>
        <w:spacing w:after="0" w:line="240" w:lineRule="auto"/>
      </w:pPr>
      <w:r>
        <w:separator/>
      </w:r>
    </w:p>
  </w:footnote>
  <w:footnote w:type="continuationSeparator" w:id="0">
    <w:p w14:paraId="3C984A26" w14:textId="77777777" w:rsidR="00A52A7F" w:rsidRDefault="00A52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BE246E" w:rsidRDefault="00BE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2F0"/>
    <w:multiLevelType w:val="hybridMultilevel"/>
    <w:tmpl w:val="7B528A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62564"/>
    <w:multiLevelType w:val="hybridMultilevel"/>
    <w:tmpl w:val="3E8A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0595B"/>
    <w:multiLevelType w:val="hybridMultilevel"/>
    <w:tmpl w:val="646C21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5840ED"/>
    <w:multiLevelType w:val="hybridMultilevel"/>
    <w:tmpl w:val="1412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91C4C67"/>
    <w:multiLevelType w:val="hybridMultilevel"/>
    <w:tmpl w:val="92BA833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520AA"/>
    <w:multiLevelType w:val="hybridMultilevel"/>
    <w:tmpl w:val="A942CC20"/>
    <w:lvl w:ilvl="0" w:tplc="D32AA1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5504D75"/>
    <w:multiLevelType w:val="hybridMultilevel"/>
    <w:tmpl w:val="8CE47BA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515855F6"/>
    <w:multiLevelType w:val="hybridMultilevel"/>
    <w:tmpl w:val="DFFE9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78D02A5"/>
    <w:multiLevelType w:val="hybridMultilevel"/>
    <w:tmpl w:val="2996EBF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977E9B"/>
    <w:multiLevelType w:val="hybridMultilevel"/>
    <w:tmpl w:val="9EC4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ADA0750"/>
    <w:multiLevelType w:val="hybridMultilevel"/>
    <w:tmpl w:val="5490A2DA"/>
    <w:lvl w:ilvl="0" w:tplc="D32AA1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18669B4"/>
    <w:multiLevelType w:val="hybridMultilevel"/>
    <w:tmpl w:val="E178611A"/>
    <w:lvl w:ilvl="0" w:tplc="0809000B">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276646">
    <w:abstractNumId w:val="7"/>
  </w:num>
  <w:num w:numId="2" w16cid:durableId="1539396189">
    <w:abstractNumId w:val="5"/>
  </w:num>
  <w:num w:numId="3" w16cid:durableId="2065523398">
    <w:abstractNumId w:val="8"/>
  </w:num>
  <w:num w:numId="4" w16cid:durableId="1829245919">
    <w:abstractNumId w:val="10"/>
  </w:num>
  <w:num w:numId="5" w16cid:durableId="1784881526">
    <w:abstractNumId w:val="4"/>
  </w:num>
  <w:num w:numId="6" w16cid:durableId="1723938314">
    <w:abstractNumId w:val="13"/>
  </w:num>
  <w:num w:numId="7" w16cid:durableId="2056616413">
    <w:abstractNumId w:val="20"/>
  </w:num>
  <w:num w:numId="8" w16cid:durableId="158545306">
    <w:abstractNumId w:val="26"/>
  </w:num>
  <w:num w:numId="9" w16cid:durableId="1373731086">
    <w:abstractNumId w:val="24"/>
  </w:num>
  <w:num w:numId="10" w16cid:durableId="476383747">
    <w:abstractNumId w:val="22"/>
  </w:num>
  <w:num w:numId="11" w16cid:durableId="1586761151">
    <w:abstractNumId w:val="6"/>
  </w:num>
  <w:num w:numId="12" w16cid:durableId="724135007">
    <w:abstractNumId w:val="25"/>
  </w:num>
  <w:num w:numId="13" w16cid:durableId="2095852402">
    <w:abstractNumId w:val="17"/>
  </w:num>
  <w:num w:numId="14" w16cid:durableId="1745755345">
    <w:abstractNumId w:val="18"/>
  </w:num>
  <w:num w:numId="15" w16cid:durableId="1088042493">
    <w:abstractNumId w:val="27"/>
  </w:num>
  <w:num w:numId="16" w16cid:durableId="1812360635">
    <w:abstractNumId w:val="11"/>
  </w:num>
  <w:num w:numId="17" w16cid:durableId="773793048">
    <w:abstractNumId w:val="3"/>
  </w:num>
  <w:num w:numId="18" w16cid:durableId="632250186">
    <w:abstractNumId w:val="21"/>
  </w:num>
  <w:num w:numId="19" w16cid:durableId="435490384">
    <w:abstractNumId w:val="12"/>
  </w:num>
  <w:num w:numId="20" w16cid:durableId="681972521">
    <w:abstractNumId w:val="1"/>
  </w:num>
  <w:num w:numId="21" w16cid:durableId="1133064210">
    <w:abstractNumId w:val="0"/>
  </w:num>
  <w:num w:numId="22" w16cid:durableId="1021467147">
    <w:abstractNumId w:val="9"/>
  </w:num>
  <w:num w:numId="23" w16cid:durableId="1236739433">
    <w:abstractNumId w:val="19"/>
  </w:num>
  <w:num w:numId="24" w16cid:durableId="318773641">
    <w:abstractNumId w:val="15"/>
  </w:num>
  <w:num w:numId="25" w16cid:durableId="1692798329">
    <w:abstractNumId w:val="2"/>
  </w:num>
  <w:num w:numId="26" w16cid:durableId="1479691758">
    <w:abstractNumId w:val="23"/>
  </w:num>
  <w:num w:numId="27" w16cid:durableId="679084990">
    <w:abstractNumId w:val="14"/>
  </w:num>
  <w:num w:numId="28" w16cid:durableId="4982762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753"/>
    <w:rsid w:val="00016887"/>
    <w:rsid w:val="000172C0"/>
    <w:rsid w:val="00023340"/>
    <w:rsid w:val="00025E9A"/>
    <w:rsid w:val="00042836"/>
    <w:rsid w:val="0004646F"/>
    <w:rsid w:val="00054803"/>
    <w:rsid w:val="00054ABE"/>
    <w:rsid w:val="00055F11"/>
    <w:rsid w:val="000600D6"/>
    <w:rsid w:val="0006185D"/>
    <w:rsid w:val="00062C84"/>
    <w:rsid w:val="00063D29"/>
    <w:rsid w:val="00066B73"/>
    <w:rsid w:val="000713D5"/>
    <w:rsid w:val="00072E9E"/>
    <w:rsid w:val="000760F3"/>
    <w:rsid w:val="00081F34"/>
    <w:rsid w:val="00083046"/>
    <w:rsid w:val="000832E3"/>
    <w:rsid w:val="00091A7D"/>
    <w:rsid w:val="00092F9D"/>
    <w:rsid w:val="00093B49"/>
    <w:rsid w:val="000952FC"/>
    <w:rsid w:val="000A051D"/>
    <w:rsid w:val="000A509A"/>
    <w:rsid w:val="000B03E0"/>
    <w:rsid w:val="000B0431"/>
    <w:rsid w:val="000B4D1A"/>
    <w:rsid w:val="000B7413"/>
    <w:rsid w:val="000C3013"/>
    <w:rsid w:val="000C3322"/>
    <w:rsid w:val="000C45FD"/>
    <w:rsid w:val="000D041A"/>
    <w:rsid w:val="000D4E23"/>
    <w:rsid w:val="000E09AB"/>
    <w:rsid w:val="000E2ED3"/>
    <w:rsid w:val="000E447E"/>
    <w:rsid w:val="000E4E1A"/>
    <w:rsid w:val="000E709E"/>
    <w:rsid w:val="000F153B"/>
    <w:rsid w:val="000F25CD"/>
    <w:rsid w:val="000F2DD4"/>
    <w:rsid w:val="000F37DA"/>
    <w:rsid w:val="000F4FC7"/>
    <w:rsid w:val="000F5EEA"/>
    <w:rsid w:val="001177AD"/>
    <w:rsid w:val="001179EA"/>
    <w:rsid w:val="00120AB1"/>
    <w:rsid w:val="0012685D"/>
    <w:rsid w:val="001318A3"/>
    <w:rsid w:val="00131BD7"/>
    <w:rsid w:val="0013283A"/>
    <w:rsid w:val="00136438"/>
    <w:rsid w:val="0013782C"/>
    <w:rsid w:val="00137D0F"/>
    <w:rsid w:val="001408E7"/>
    <w:rsid w:val="00145949"/>
    <w:rsid w:val="001500DB"/>
    <w:rsid w:val="001520CB"/>
    <w:rsid w:val="0015318C"/>
    <w:rsid w:val="0015386B"/>
    <w:rsid w:val="00154CA7"/>
    <w:rsid w:val="00160FBB"/>
    <w:rsid w:val="00163C6B"/>
    <w:rsid w:val="00165EC8"/>
    <w:rsid w:val="00167D5A"/>
    <w:rsid w:val="001701E3"/>
    <w:rsid w:val="00172299"/>
    <w:rsid w:val="00173A48"/>
    <w:rsid w:val="001755FE"/>
    <w:rsid w:val="00186155"/>
    <w:rsid w:val="001923A9"/>
    <w:rsid w:val="00194C4A"/>
    <w:rsid w:val="0019604D"/>
    <w:rsid w:val="00197579"/>
    <w:rsid w:val="001A3A79"/>
    <w:rsid w:val="001B33F5"/>
    <w:rsid w:val="001B6C00"/>
    <w:rsid w:val="001B72D0"/>
    <w:rsid w:val="001C16ED"/>
    <w:rsid w:val="001D03FC"/>
    <w:rsid w:val="001D234C"/>
    <w:rsid w:val="001D33C5"/>
    <w:rsid w:val="001D3930"/>
    <w:rsid w:val="001D3F16"/>
    <w:rsid w:val="001E029F"/>
    <w:rsid w:val="001E3F91"/>
    <w:rsid w:val="001E43CA"/>
    <w:rsid w:val="001E7C35"/>
    <w:rsid w:val="001F261F"/>
    <w:rsid w:val="001F5631"/>
    <w:rsid w:val="001F632B"/>
    <w:rsid w:val="0020251A"/>
    <w:rsid w:val="002050E0"/>
    <w:rsid w:val="00207E17"/>
    <w:rsid w:val="00211898"/>
    <w:rsid w:val="00214679"/>
    <w:rsid w:val="00214810"/>
    <w:rsid w:val="002168D0"/>
    <w:rsid w:val="00223990"/>
    <w:rsid w:val="00230BCA"/>
    <w:rsid w:val="00231386"/>
    <w:rsid w:val="002331B5"/>
    <w:rsid w:val="00236426"/>
    <w:rsid w:val="002367C5"/>
    <w:rsid w:val="00236B35"/>
    <w:rsid w:val="00237948"/>
    <w:rsid w:val="002467A7"/>
    <w:rsid w:val="002551E3"/>
    <w:rsid w:val="00263663"/>
    <w:rsid w:val="002646EF"/>
    <w:rsid w:val="00267276"/>
    <w:rsid w:val="002672BF"/>
    <w:rsid w:val="00270A48"/>
    <w:rsid w:val="00270CDB"/>
    <w:rsid w:val="00270D75"/>
    <w:rsid w:val="0027282A"/>
    <w:rsid w:val="00274E45"/>
    <w:rsid w:val="002756A6"/>
    <w:rsid w:val="00276C79"/>
    <w:rsid w:val="002853F4"/>
    <w:rsid w:val="002855E0"/>
    <w:rsid w:val="00294B2B"/>
    <w:rsid w:val="002A0115"/>
    <w:rsid w:val="002A0395"/>
    <w:rsid w:val="002A059E"/>
    <w:rsid w:val="002A164C"/>
    <w:rsid w:val="002A32E4"/>
    <w:rsid w:val="002A4428"/>
    <w:rsid w:val="002A7368"/>
    <w:rsid w:val="002B030A"/>
    <w:rsid w:val="002B2A38"/>
    <w:rsid w:val="002B6B62"/>
    <w:rsid w:val="002C2B00"/>
    <w:rsid w:val="002C5107"/>
    <w:rsid w:val="002C74D9"/>
    <w:rsid w:val="002D32F2"/>
    <w:rsid w:val="002D5032"/>
    <w:rsid w:val="002E0431"/>
    <w:rsid w:val="002E0FA9"/>
    <w:rsid w:val="002E3321"/>
    <w:rsid w:val="002E63AC"/>
    <w:rsid w:val="002F0DBF"/>
    <w:rsid w:val="002F1790"/>
    <w:rsid w:val="002F3864"/>
    <w:rsid w:val="002F54FC"/>
    <w:rsid w:val="0030519C"/>
    <w:rsid w:val="00307C5B"/>
    <w:rsid w:val="00311EC1"/>
    <w:rsid w:val="003136B4"/>
    <w:rsid w:val="00322826"/>
    <w:rsid w:val="00322998"/>
    <w:rsid w:val="00322B65"/>
    <w:rsid w:val="00326FD4"/>
    <w:rsid w:val="00335601"/>
    <w:rsid w:val="00335797"/>
    <w:rsid w:val="003369EE"/>
    <w:rsid w:val="00343D69"/>
    <w:rsid w:val="003445F0"/>
    <w:rsid w:val="0034516F"/>
    <w:rsid w:val="00346A15"/>
    <w:rsid w:val="0035047D"/>
    <w:rsid w:val="00353288"/>
    <w:rsid w:val="00357FA2"/>
    <w:rsid w:val="003638F0"/>
    <w:rsid w:val="0036408A"/>
    <w:rsid w:val="00370C9C"/>
    <w:rsid w:val="003726E7"/>
    <w:rsid w:val="00386DA2"/>
    <w:rsid w:val="00387C51"/>
    <w:rsid w:val="00392021"/>
    <w:rsid w:val="00392571"/>
    <w:rsid w:val="003A1B27"/>
    <w:rsid w:val="003A2E19"/>
    <w:rsid w:val="003A31C2"/>
    <w:rsid w:val="003A4A80"/>
    <w:rsid w:val="003B0BCB"/>
    <w:rsid w:val="003B4407"/>
    <w:rsid w:val="003C0969"/>
    <w:rsid w:val="003C44ED"/>
    <w:rsid w:val="003D1040"/>
    <w:rsid w:val="003E05A7"/>
    <w:rsid w:val="003E14F6"/>
    <w:rsid w:val="004042E3"/>
    <w:rsid w:val="004044AA"/>
    <w:rsid w:val="00406001"/>
    <w:rsid w:val="004067A3"/>
    <w:rsid w:val="00407946"/>
    <w:rsid w:val="00413DAE"/>
    <w:rsid w:val="0042194D"/>
    <w:rsid w:val="00421F36"/>
    <w:rsid w:val="00426AB5"/>
    <w:rsid w:val="004279B0"/>
    <w:rsid w:val="00427E38"/>
    <w:rsid w:val="0043054A"/>
    <w:rsid w:val="00430F2E"/>
    <w:rsid w:val="004331A1"/>
    <w:rsid w:val="00433F0F"/>
    <w:rsid w:val="00435F63"/>
    <w:rsid w:val="00440014"/>
    <w:rsid w:val="00441124"/>
    <w:rsid w:val="00444380"/>
    <w:rsid w:val="004471DE"/>
    <w:rsid w:val="004521BC"/>
    <w:rsid w:val="004568D2"/>
    <w:rsid w:val="004609BC"/>
    <w:rsid w:val="004616A1"/>
    <w:rsid w:val="00464A10"/>
    <w:rsid w:val="004707E8"/>
    <w:rsid w:val="00474439"/>
    <w:rsid w:val="00474BB3"/>
    <w:rsid w:val="00475472"/>
    <w:rsid w:val="00480342"/>
    <w:rsid w:val="00482C74"/>
    <w:rsid w:val="00483768"/>
    <w:rsid w:val="00485A1F"/>
    <w:rsid w:val="0049615A"/>
    <w:rsid w:val="004A0414"/>
    <w:rsid w:val="004A3529"/>
    <w:rsid w:val="004A39E3"/>
    <w:rsid w:val="004A3CB0"/>
    <w:rsid w:val="004A5628"/>
    <w:rsid w:val="004A63C6"/>
    <w:rsid w:val="004A6E4F"/>
    <w:rsid w:val="004B08CB"/>
    <w:rsid w:val="004B3A94"/>
    <w:rsid w:val="004B42F8"/>
    <w:rsid w:val="004C15CE"/>
    <w:rsid w:val="004D0A78"/>
    <w:rsid w:val="004D40FE"/>
    <w:rsid w:val="004D53CC"/>
    <w:rsid w:val="004E6A35"/>
    <w:rsid w:val="004E7BFC"/>
    <w:rsid w:val="004F11D4"/>
    <w:rsid w:val="004F42B3"/>
    <w:rsid w:val="004F4C6F"/>
    <w:rsid w:val="004F5A7E"/>
    <w:rsid w:val="004F76FF"/>
    <w:rsid w:val="004F7E68"/>
    <w:rsid w:val="0051044E"/>
    <w:rsid w:val="00510BC4"/>
    <w:rsid w:val="0051331D"/>
    <w:rsid w:val="00521052"/>
    <w:rsid w:val="005211EA"/>
    <w:rsid w:val="00523B6E"/>
    <w:rsid w:val="005247BD"/>
    <w:rsid w:val="0053009B"/>
    <w:rsid w:val="00533F7A"/>
    <w:rsid w:val="005348DD"/>
    <w:rsid w:val="0053564D"/>
    <w:rsid w:val="00540EB5"/>
    <w:rsid w:val="00550F24"/>
    <w:rsid w:val="00551B75"/>
    <w:rsid w:val="005537E7"/>
    <w:rsid w:val="005545F9"/>
    <w:rsid w:val="00556CDC"/>
    <w:rsid w:val="00557548"/>
    <w:rsid w:val="005605F7"/>
    <w:rsid w:val="00560D76"/>
    <w:rsid w:val="00564C85"/>
    <w:rsid w:val="00570B6F"/>
    <w:rsid w:val="00570C34"/>
    <w:rsid w:val="00570D12"/>
    <w:rsid w:val="005728CB"/>
    <w:rsid w:val="00573489"/>
    <w:rsid w:val="00581369"/>
    <w:rsid w:val="00591E53"/>
    <w:rsid w:val="00592E38"/>
    <w:rsid w:val="005949E9"/>
    <w:rsid w:val="00595CE7"/>
    <w:rsid w:val="00595DAC"/>
    <w:rsid w:val="005969E6"/>
    <w:rsid w:val="00597677"/>
    <w:rsid w:val="005A0968"/>
    <w:rsid w:val="005B174E"/>
    <w:rsid w:val="005C420F"/>
    <w:rsid w:val="005C77B6"/>
    <w:rsid w:val="005D16B2"/>
    <w:rsid w:val="005D59B5"/>
    <w:rsid w:val="005D621C"/>
    <w:rsid w:val="005D652E"/>
    <w:rsid w:val="005D71CA"/>
    <w:rsid w:val="005E42E7"/>
    <w:rsid w:val="005E7699"/>
    <w:rsid w:val="005F0CF8"/>
    <w:rsid w:val="005F6A5F"/>
    <w:rsid w:val="005F770E"/>
    <w:rsid w:val="00603BE9"/>
    <w:rsid w:val="00604078"/>
    <w:rsid w:val="00607191"/>
    <w:rsid w:val="006079E2"/>
    <w:rsid w:val="006131CB"/>
    <w:rsid w:val="0061436B"/>
    <w:rsid w:val="00614766"/>
    <w:rsid w:val="00615B50"/>
    <w:rsid w:val="00617B63"/>
    <w:rsid w:val="0062197E"/>
    <w:rsid w:val="00622C7D"/>
    <w:rsid w:val="00623465"/>
    <w:rsid w:val="006276FE"/>
    <w:rsid w:val="0063472D"/>
    <w:rsid w:val="0063500D"/>
    <w:rsid w:val="00635815"/>
    <w:rsid w:val="0063730F"/>
    <w:rsid w:val="00642501"/>
    <w:rsid w:val="0064475B"/>
    <w:rsid w:val="00647B31"/>
    <w:rsid w:val="00647CEA"/>
    <w:rsid w:val="00655355"/>
    <w:rsid w:val="006663E1"/>
    <w:rsid w:val="00666E00"/>
    <w:rsid w:val="00667B1E"/>
    <w:rsid w:val="00675322"/>
    <w:rsid w:val="00676463"/>
    <w:rsid w:val="00680858"/>
    <w:rsid w:val="006830DD"/>
    <w:rsid w:val="0069322D"/>
    <w:rsid w:val="0069565D"/>
    <w:rsid w:val="00696951"/>
    <w:rsid w:val="00696C0B"/>
    <w:rsid w:val="00696FD0"/>
    <w:rsid w:val="006A1AB4"/>
    <w:rsid w:val="006A3D28"/>
    <w:rsid w:val="006A4253"/>
    <w:rsid w:val="006A7173"/>
    <w:rsid w:val="006B0828"/>
    <w:rsid w:val="006B15AB"/>
    <w:rsid w:val="006B3597"/>
    <w:rsid w:val="006B536E"/>
    <w:rsid w:val="006B5E16"/>
    <w:rsid w:val="006B7A20"/>
    <w:rsid w:val="006C599F"/>
    <w:rsid w:val="006D3502"/>
    <w:rsid w:val="006D4775"/>
    <w:rsid w:val="006E27BD"/>
    <w:rsid w:val="006E2D32"/>
    <w:rsid w:val="006E2F53"/>
    <w:rsid w:val="006E5DA3"/>
    <w:rsid w:val="006E7193"/>
    <w:rsid w:val="006E7FB1"/>
    <w:rsid w:val="006F0184"/>
    <w:rsid w:val="006F2C3A"/>
    <w:rsid w:val="006F359A"/>
    <w:rsid w:val="007005FE"/>
    <w:rsid w:val="00701094"/>
    <w:rsid w:val="007025BE"/>
    <w:rsid w:val="00710775"/>
    <w:rsid w:val="007148D4"/>
    <w:rsid w:val="00720501"/>
    <w:rsid w:val="007218DD"/>
    <w:rsid w:val="007300F4"/>
    <w:rsid w:val="00730CCD"/>
    <w:rsid w:val="0073465A"/>
    <w:rsid w:val="00735B54"/>
    <w:rsid w:val="00736C6A"/>
    <w:rsid w:val="00737305"/>
    <w:rsid w:val="00737544"/>
    <w:rsid w:val="007411D4"/>
    <w:rsid w:val="00741B9E"/>
    <w:rsid w:val="00742365"/>
    <w:rsid w:val="0074294A"/>
    <w:rsid w:val="00743054"/>
    <w:rsid w:val="00743CDF"/>
    <w:rsid w:val="00747E49"/>
    <w:rsid w:val="00750DDE"/>
    <w:rsid w:val="00751D90"/>
    <w:rsid w:val="007566D0"/>
    <w:rsid w:val="0075690B"/>
    <w:rsid w:val="00760B5B"/>
    <w:rsid w:val="00773CDA"/>
    <w:rsid w:val="007756BD"/>
    <w:rsid w:val="007771EC"/>
    <w:rsid w:val="00781B99"/>
    <w:rsid w:val="00783FA9"/>
    <w:rsid w:val="007909DC"/>
    <w:rsid w:val="00794327"/>
    <w:rsid w:val="0079623F"/>
    <w:rsid w:val="007968AE"/>
    <w:rsid w:val="007A0219"/>
    <w:rsid w:val="007A2485"/>
    <w:rsid w:val="007A2934"/>
    <w:rsid w:val="007A7A79"/>
    <w:rsid w:val="007A7D91"/>
    <w:rsid w:val="007B0B9D"/>
    <w:rsid w:val="007B0F5B"/>
    <w:rsid w:val="007B271D"/>
    <w:rsid w:val="007B4F4E"/>
    <w:rsid w:val="007B6743"/>
    <w:rsid w:val="007B76C1"/>
    <w:rsid w:val="007B7798"/>
    <w:rsid w:val="007C12B3"/>
    <w:rsid w:val="007C2F04"/>
    <w:rsid w:val="007C78D8"/>
    <w:rsid w:val="007D1D45"/>
    <w:rsid w:val="007D2DFC"/>
    <w:rsid w:val="007D66F8"/>
    <w:rsid w:val="007E0F91"/>
    <w:rsid w:val="007E4865"/>
    <w:rsid w:val="007E5425"/>
    <w:rsid w:val="007E75BB"/>
    <w:rsid w:val="007F1983"/>
    <w:rsid w:val="007F47CA"/>
    <w:rsid w:val="007F776B"/>
    <w:rsid w:val="00801ECE"/>
    <w:rsid w:val="008048AE"/>
    <w:rsid w:val="0081008E"/>
    <w:rsid w:val="008107F9"/>
    <w:rsid w:val="00820F2A"/>
    <w:rsid w:val="00823461"/>
    <w:rsid w:val="008348CC"/>
    <w:rsid w:val="0083500D"/>
    <w:rsid w:val="008357A9"/>
    <w:rsid w:val="00835987"/>
    <w:rsid w:val="00835C72"/>
    <w:rsid w:val="00836A3C"/>
    <w:rsid w:val="00842940"/>
    <w:rsid w:val="00843345"/>
    <w:rsid w:val="00843E7B"/>
    <w:rsid w:val="00846504"/>
    <w:rsid w:val="008525EF"/>
    <w:rsid w:val="00853815"/>
    <w:rsid w:val="00853883"/>
    <w:rsid w:val="008563CC"/>
    <w:rsid w:val="008668C7"/>
    <w:rsid w:val="00866CEC"/>
    <w:rsid w:val="00871DB3"/>
    <w:rsid w:val="008732A9"/>
    <w:rsid w:val="0087553A"/>
    <w:rsid w:val="00876EEF"/>
    <w:rsid w:val="00884750"/>
    <w:rsid w:val="008856B8"/>
    <w:rsid w:val="0089023A"/>
    <w:rsid w:val="00896FC2"/>
    <w:rsid w:val="008971BF"/>
    <w:rsid w:val="008A0D84"/>
    <w:rsid w:val="008A7B92"/>
    <w:rsid w:val="008B1F18"/>
    <w:rsid w:val="008B2EF1"/>
    <w:rsid w:val="008B3FD7"/>
    <w:rsid w:val="008B4699"/>
    <w:rsid w:val="008B663D"/>
    <w:rsid w:val="008B79EC"/>
    <w:rsid w:val="008C0ED6"/>
    <w:rsid w:val="008C5D12"/>
    <w:rsid w:val="008C6795"/>
    <w:rsid w:val="008C74EF"/>
    <w:rsid w:val="008D04BF"/>
    <w:rsid w:val="008D19E6"/>
    <w:rsid w:val="008D2F67"/>
    <w:rsid w:val="008D3D2D"/>
    <w:rsid w:val="008D660F"/>
    <w:rsid w:val="008E1F8F"/>
    <w:rsid w:val="008E37FA"/>
    <w:rsid w:val="008E663E"/>
    <w:rsid w:val="008F1D85"/>
    <w:rsid w:val="008F2770"/>
    <w:rsid w:val="008F6B6A"/>
    <w:rsid w:val="0090104F"/>
    <w:rsid w:val="0090611A"/>
    <w:rsid w:val="00911FD3"/>
    <w:rsid w:val="00912BF8"/>
    <w:rsid w:val="00913600"/>
    <w:rsid w:val="00913FE5"/>
    <w:rsid w:val="00914E00"/>
    <w:rsid w:val="009166DC"/>
    <w:rsid w:val="00917600"/>
    <w:rsid w:val="00917FB2"/>
    <w:rsid w:val="00924246"/>
    <w:rsid w:val="00925C53"/>
    <w:rsid w:val="009337F3"/>
    <w:rsid w:val="00936AE3"/>
    <w:rsid w:val="00937D52"/>
    <w:rsid w:val="00942A01"/>
    <w:rsid w:val="00943AEC"/>
    <w:rsid w:val="00955DCE"/>
    <w:rsid w:val="00964319"/>
    <w:rsid w:val="00967F21"/>
    <w:rsid w:val="0097039B"/>
    <w:rsid w:val="0097300F"/>
    <w:rsid w:val="00983149"/>
    <w:rsid w:val="00991906"/>
    <w:rsid w:val="00992DBD"/>
    <w:rsid w:val="00994503"/>
    <w:rsid w:val="009A319C"/>
    <w:rsid w:val="009A6188"/>
    <w:rsid w:val="009B5DB9"/>
    <w:rsid w:val="009B5DED"/>
    <w:rsid w:val="009B70DA"/>
    <w:rsid w:val="009B76D7"/>
    <w:rsid w:val="009B7D18"/>
    <w:rsid w:val="009C3BE9"/>
    <w:rsid w:val="009D2CBA"/>
    <w:rsid w:val="009D3A65"/>
    <w:rsid w:val="009D48C7"/>
    <w:rsid w:val="009D71E8"/>
    <w:rsid w:val="009E1032"/>
    <w:rsid w:val="009E19AE"/>
    <w:rsid w:val="009E639F"/>
    <w:rsid w:val="009E6A82"/>
    <w:rsid w:val="009E6C54"/>
    <w:rsid w:val="009E6CF1"/>
    <w:rsid w:val="009F2E01"/>
    <w:rsid w:val="009F3319"/>
    <w:rsid w:val="009F4A5C"/>
    <w:rsid w:val="009F5594"/>
    <w:rsid w:val="00A057C0"/>
    <w:rsid w:val="00A06DA5"/>
    <w:rsid w:val="00A1179F"/>
    <w:rsid w:val="00A14168"/>
    <w:rsid w:val="00A15208"/>
    <w:rsid w:val="00A21334"/>
    <w:rsid w:val="00A21BF7"/>
    <w:rsid w:val="00A23242"/>
    <w:rsid w:val="00A23DCC"/>
    <w:rsid w:val="00A24745"/>
    <w:rsid w:val="00A35315"/>
    <w:rsid w:val="00A35944"/>
    <w:rsid w:val="00A52A7F"/>
    <w:rsid w:val="00A5793B"/>
    <w:rsid w:val="00A66460"/>
    <w:rsid w:val="00A66A27"/>
    <w:rsid w:val="00A67D9A"/>
    <w:rsid w:val="00A73645"/>
    <w:rsid w:val="00A76F3D"/>
    <w:rsid w:val="00A8023D"/>
    <w:rsid w:val="00A8386F"/>
    <w:rsid w:val="00A916EC"/>
    <w:rsid w:val="00A92074"/>
    <w:rsid w:val="00A97E37"/>
    <w:rsid w:val="00AA06A0"/>
    <w:rsid w:val="00AA1E26"/>
    <w:rsid w:val="00AB1F7E"/>
    <w:rsid w:val="00AB5078"/>
    <w:rsid w:val="00AB521B"/>
    <w:rsid w:val="00AC569B"/>
    <w:rsid w:val="00AC5A2F"/>
    <w:rsid w:val="00AC5F5A"/>
    <w:rsid w:val="00AD368E"/>
    <w:rsid w:val="00AD68F6"/>
    <w:rsid w:val="00AE4F0F"/>
    <w:rsid w:val="00AE56CF"/>
    <w:rsid w:val="00AF107D"/>
    <w:rsid w:val="00AF5681"/>
    <w:rsid w:val="00B00BF0"/>
    <w:rsid w:val="00B00CAD"/>
    <w:rsid w:val="00B027CA"/>
    <w:rsid w:val="00B031E4"/>
    <w:rsid w:val="00B04856"/>
    <w:rsid w:val="00B10A9D"/>
    <w:rsid w:val="00B16803"/>
    <w:rsid w:val="00B16D8F"/>
    <w:rsid w:val="00B23109"/>
    <w:rsid w:val="00B248B2"/>
    <w:rsid w:val="00B2747D"/>
    <w:rsid w:val="00B27E92"/>
    <w:rsid w:val="00B3121D"/>
    <w:rsid w:val="00B374F1"/>
    <w:rsid w:val="00B401B8"/>
    <w:rsid w:val="00B475FC"/>
    <w:rsid w:val="00B515EC"/>
    <w:rsid w:val="00B61290"/>
    <w:rsid w:val="00B63FB5"/>
    <w:rsid w:val="00B71F1D"/>
    <w:rsid w:val="00B7597E"/>
    <w:rsid w:val="00B85627"/>
    <w:rsid w:val="00B856DC"/>
    <w:rsid w:val="00B93667"/>
    <w:rsid w:val="00B93842"/>
    <w:rsid w:val="00BA417D"/>
    <w:rsid w:val="00BA4821"/>
    <w:rsid w:val="00BA548F"/>
    <w:rsid w:val="00BA64DB"/>
    <w:rsid w:val="00BB0BED"/>
    <w:rsid w:val="00BB2F25"/>
    <w:rsid w:val="00BB678C"/>
    <w:rsid w:val="00BB6864"/>
    <w:rsid w:val="00BB6FFF"/>
    <w:rsid w:val="00BC3707"/>
    <w:rsid w:val="00BC3D6E"/>
    <w:rsid w:val="00BC47D7"/>
    <w:rsid w:val="00BC5A78"/>
    <w:rsid w:val="00BD24C8"/>
    <w:rsid w:val="00BD37F6"/>
    <w:rsid w:val="00BD3CAE"/>
    <w:rsid w:val="00BD477B"/>
    <w:rsid w:val="00BE246E"/>
    <w:rsid w:val="00BE3D48"/>
    <w:rsid w:val="00BE3EFF"/>
    <w:rsid w:val="00BF09FE"/>
    <w:rsid w:val="00BF2DEA"/>
    <w:rsid w:val="00BF3854"/>
    <w:rsid w:val="00BF3910"/>
    <w:rsid w:val="00BF5A64"/>
    <w:rsid w:val="00C00FEC"/>
    <w:rsid w:val="00C032F8"/>
    <w:rsid w:val="00C06AA2"/>
    <w:rsid w:val="00C10303"/>
    <w:rsid w:val="00C108BF"/>
    <w:rsid w:val="00C12275"/>
    <w:rsid w:val="00C13216"/>
    <w:rsid w:val="00C135CA"/>
    <w:rsid w:val="00C13B3B"/>
    <w:rsid w:val="00C15D1A"/>
    <w:rsid w:val="00C208E0"/>
    <w:rsid w:val="00C22E22"/>
    <w:rsid w:val="00C277F1"/>
    <w:rsid w:val="00C3174D"/>
    <w:rsid w:val="00C43481"/>
    <w:rsid w:val="00C461F0"/>
    <w:rsid w:val="00C47663"/>
    <w:rsid w:val="00C507EC"/>
    <w:rsid w:val="00C52EB7"/>
    <w:rsid w:val="00C5414D"/>
    <w:rsid w:val="00C6342B"/>
    <w:rsid w:val="00C65661"/>
    <w:rsid w:val="00C65859"/>
    <w:rsid w:val="00C66964"/>
    <w:rsid w:val="00C70A3D"/>
    <w:rsid w:val="00C71DAF"/>
    <w:rsid w:val="00C73877"/>
    <w:rsid w:val="00C82B9E"/>
    <w:rsid w:val="00C83B56"/>
    <w:rsid w:val="00C8765D"/>
    <w:rsid w:val="00C9281B"/>
    <w:rsid w:val="00C94046"/>
    <w:rsid w:val="00C9689E"/>
    <w:rsid w:val="00C97FDC"/>
    <w:rsid w:val="00CA05B4"/>
    <w:rsid w:val="00CA2BDD"/>
    <w:rsid w:val="00CB0AD3"/>
    <w:rsid w:val="00CB15EB"/>
    <w:rsid w:val="00CB63E2"/>
    <w:rsid w:val="00CC24CB"/>
    <w:rsid w:val="00CC3514"/>
    <w:rsid w:val="00CC3FF0"/>
    <w:rsid w:val="00CC5054"/>
    <w:rsid w:val="00CC597A"/>
    <w:rsid w:val="00CC7614"/>
    <w:rsid w:val="00CD6B45"/>
    <w:rsid w:val="00CE4140"/>
    <w:rsid w:val="00CE4867"/>
    <w:rsid w:val="00CE7E35"/>
    <w:rsid w:val="00CF0506"/>
    <w:rsid w:val="00CF24E7"/>
    <w:rsid w:val="00CF3ABB"/>
    <w:rsid w:val="00CF5BEA"/>
    <w:rsid w:val="00D04318"/>
    <w:rsid w:val="00D12A36"/>
    <w:rsid w:val="00D138D6"/>
    <w:rsid w:val="00D20272"/>
    <w:rsid w:val="00D24D8D"/>
    <w:rsid w:val="00D311E3"/>
    <w:rsid w:val="00D323A9"/>
    <w:rsid w:val="00D32BF4"/>
    <w:rsid w:val="00D33507"/>
    <w:rsid w:val="00D33FE5"/>
    <w:rsid w:val="00D34F13"/>
    <w:rsid w:val="00D35C1A"/>
    <w:rsid w:val="00D50D5C"/>
    <w:rsid w:val="00D568DC"/>
    <w:rsid w:val="00D6452E"/>
    <w:rsid w:val="00D651AF"/>
    <w:rsid w:val="00D677FA"/>
    <w:rsid w:val="00D70080"/>
    <w:rsid w:val="00D71A1F"/>
    <w:rsid w:val="00D71D1F"/>
    <w:rsid w:val="00D7443A"/>
    <w:rsid w:val="00D7446E"/>
    <w:rsid w:val="00D74B4E"/>
    <w:rsid w:val="00D75EC2"/>
    <w:rsid w:val="00D77F4D"/>
    <w:rsid w:val="00D83B32"/>
    <w:rsid w:val="00D840C8"/>
    <w:rsid w:val="00D863A0"/>
    <w:rsid w:val="00D87CFA"/>
    <w:rsid w:val="00D943A2"/>
    <w:rsid w:val="00D9635C"/>
    <w:rsid w:val="00DA0A77"/>
    <w:rsid w:val="00DA2629"/>
    <w:rsid w:val="00DA5897"/>
    <w:rsid w:val="00DA703F"/>
    <w:rsid w:val="00DB2F5E"/>
    <w:rsid w:val="00DB513A"/>
    <w:rsid w:val="00DB7150"/>
    <w:rsid w:val="00DC0699"/>
    <w:rsid w:val="00DC0B74"/>
    <w:rsid w:val="00DC0DD8"/>
    <w:rsid w:val="00DC148D"/>
    <w:rsid w:val="00DC2BE1"/>
    <w:rsid w:val="00DC3554"/>
    <w:rsid w:val="00DC3B09"/>
    <w:rsid w:val="00DC4C0A"/>
    <w:rsid w:val="00DC5512"/>
    <w:rsid w:val="00DD04CF"/>
    <w:rsid w:val="00DD78FF"/>
    <w:rsid w:val="00DE5469"/>
    <w:rsid w:val="00DE5BD4"/>
    <w:rsid w:val="00DF1A5F"/>
    <w:rsid w:val="00DF5D3F"/>
    <w:rsid w:val="00E00CFE"/>
    <w:rsid w:val="00E023B6"/>
    <w:rsid w:val="00E042A6"/>
    <w:rsid w:val="00E056DE"/>
    <w:rsid w:val="00E1190D"/>
    <w:rsid w:val="00E13A06"/>
    <w:rsid w:val="00E16480"/>
    <w:rsid w:val="00E17AB6"/>
    <w:rsid w:val="00E20686"/>
    <w:rsid w:val="00E22BDE"/>
    <w:rsid w:val="00E22CFD"/>
    <w:rsid w:val="00E325F8"/>
    <w:rsid w:val="00E36490"/>
    <w:rsid w:val="00E410C2"/>
    <w:rsid w:val="00E42376"/>
    <w:rsid w:val="00E424B3"/>
    <w:rsid w:val="00E4436A"/>
    <w:rsid w:val="00E4535D"/>
    <w:rsid w:val="00E45863"/>
    <w:rsid w:val="00E45A7C"/>
    <w:rsid w:val="00E5545B"/>
    <w:rsid w:val="00E57A1A"/>
    <w:rsid w:val="00E60061"/>
    <w:rsid w:val="00E61F3F"/>
    <w:rsid w:val="00E62861"/>
    <w:rsid w:val="00E63348"/>
    <w:rsid w:val="00E63C32"/>
    <w:rsid w:val="00E642E9"/>
    <w:rsid w:val="00E65617"/>
    <w:rsid w:val="00E66558"/>
    <w:rsid w:val="00E67AAB"/>
    <w:rsid w:val="00E67F3D"/>
    <w:rsid w:val="00E807AB"/>
    <w:rsid w:val="00E81D76"/>
    <w:rsid w:val="00E84FE5"/>
    <w:rsid w:val="00E91045"/>
    <w:rsid w:val="00EA0A56"/>
    <w:rsid w:val="00EA3E26"/>
    <w:rsid w:val="00EA4EB8"/>
    <w:rsid w:val="00EA63BF"/>
    <w:rsid w:val="00EB0601"/>
    <w:rsid w:val="00EB0E1F"/>
    <w:rsid w:val="00EB2A6B"/>
    <w:rsid w:val="00EB41FF"/>
    <w:rsid w:val="00EB6BD8"/>
    <w:rsid w:val="00EB7F51"/>
    <w:rsid w:val="00EC0363"/>
    <w:rsid w:val="00EC07DD"/>
    <w:rsid w:val="00EC1A23"/>
    <w:rsid w:val="00EC1B77"/>
    <w:rsid w:val="00EC6586"/>
    <w:rsid w:val="00ED0034"/>
    <w:rsid w:val="00ED02E8"/>
    <w:rsid w:val="00ED7722"/>
    <w:rsid w:val="00EE0F22"/>
    <w:rsid w:val="00EE5A1E"/>
    <w:rsid w:val="00EE6280"/>
    <w:rsid w:val="00EE7AC3"/>
    <w:rsid w:val="00EF47D0"/>
    <w:rsid w:val="00EF5629"/>
    <w:rsid w:val="00F00360"/>
    <w:rsid w:val="00F04E7B"/>
    <w:rsid w:val="00F07884"/>
    <w:rsid w:val="00F11FF9"/>
    <w:rsid w:val="00F1563E"/>
    <w:rsid w:val="00F17A2A"/>
    <w:rsid w:val="00F239E3"/>
    <w:rsid w:val="00F24B20"/>
    <w:rsid w:val="00F312EF"/>
    <w:rsid w:val="00F34E88"/>
    <w:rsid w:val="00F34EBC"/>
    <w:rsid w:val="00F35D97"/>
    <w:rsid w:val="00F520C9"/>
    <w:rsid w:val="00F52B10"/>
    <w:rsid w:val="00F52DD1"/>
    <w:rsid w:val="00F572EF"/>
    <w:rsid w:val="00F63145"/>
    <w:rsid w:val="00F66278"/>
    <w:rsid w:val="00F674A1"/>
    <w:rsid w:val="00F71954"/>
    <w:rsid w:val="00F7548A"/>
    <w:rsid w:val="00F81B78"/>
    <w:rsid w:val="00F90247"/>
    <w:rsid w:val="00F90637"/>
    <w:rsid w:val="00F915B7"/>
    <w:rsid w:val="00F93B4A"/>
    <w:rsid w:val="00F93CFD"/>
    <w:rsid w:val="00F9556F"/>
    <w:rsid w:val="00F9610A"/>
    <w:rsid w:val="00F97A29"/>
    <w:rsid w:val="00FA0277"/>
    <w:rsid w:val="00FA4BEF"/>
    <w:rsid w:val="00FA5090"/>
    <w:rsid w:val="00FA637D"/>
    <w:rsid w:val="00FA6770"/>
    <w:rsid w:val="00FB04C5"/>
    <w:rsid w:val="00FB2DD2"/>
    <w:rsid w:val="00FB3B84"/>
    <w:rsid w:val="00FB5775"/>
    <w:rsid w:val="00FB5EBB"/>
    <w:rsid w:val="00FB7124"/>
    <w:rsid w:val="00FB7D6C"/>
    <w:rsid w:val="00FC01CC"/>
    <w:rsid w:val="00FC1B19"/>
    <w:rsid w:val="00FC2708"/>
    <w:rsid w:val="00FD0048"/>
    <w:rsid w:val="00FD008B"/>
    <w:rsid w:val="00FD0A09"/>
    <w:rsid w:val="00FD0E09"/>
    <w:rsid w:val="00FD14C3"/>
    <w:rsid w:val="00FD3768"/>
    <w:rsid w:val="00FD5783"/>
    <w:rsid w:val="00FD67A6"/>
    <w:rsid w:val="00FF02A1"/>
    <w:rsid w:val="00FF05C0"/>
    <w:rsid w:val="00FF0AF9"/>
    <w:rsid w:val="00FF21D7"/>
    <w:rsid w:val="00FF2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BE246E"/>
    <w:pPr>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11E3"/>
    <w:rPr>
      <w:color w:val="605E5C"/>
      <w:shd w:val="clear" w:color="auto" w:fill="E1DFDD"/>
    </w:rPr>
  </w:style>
  <w:style w:type="paragraph" w:styleId="NoSpacing">
    <w:name w:val="No Spacing"/>
    <w:uiPriority w:val="1"/>
    <w:qFormat/>
    <w:rsid w:val="00322998"/>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39618">
      <w:bodyDiv w:val="1"/>
      <w:marLeft w:val="0"/>
      <w:marRight w:val="0"/>
      <w:marTop w:val="0"/>
      <w:marBottom w:val="0"/>
      <w:divBdr>
        <w:top w:val="none" w:sz="0" w:space="0" w:color="auto"/>
        <w:left w:val="none" w:sz="0" w:space="0" w:color="auto"/>
        <w:bottom w:val="none" w:sz="0" w:space="0" w:color="auto"/>
        <w:right w:val="none" w:sz="0" w:space="0" w:color="auto"/>
      </w:divBdr>
    </w:div>
    <w:div w:id="1396854207">
      <w:bodyDiv w:val="1"/>
      <w:marLeft w:val="0"/>
      <w:marRight w:val="0"/>
      <w:marTop w:val="0"/>
      <w:marBottom w:val="0"/>
      <w:divBdr>
        <w:top w:val="none" w:sz="0" w:space="0" w:color="auto"/>
        <w:left w:val="none" w:sz="0" w:space="0" w:color="auto"/>
        <w:bottom w:val="none" w:sz="0" w:space="0" w:color="auto"/>
        <w:right w:val="none" w:sz="0" w:space="0" w:color="auto"/>
      </w:divBdr>
      <w:divsChild>
        <w:div w:id="633029226">
          <w:marLeft w:val="0"/>
          <w:marRight w:val="0"/>
          <w:marTop w:val="0"/>
          <w:marBottom w:val="0"/>
          <w:divBdr>
            <w:top w:val="single" w:sz="6" w:space="0" w:color="auto"/>
            <w:left w:val="single" w:sz="6" w:space="0" w:color="auto"/>
            <w:bottom w:val="single" w:sz="6" w:space="0" w:color="auto"/>
            <w:right w:val="single" w:sz="6" w:space="0" w:color="auto"/>
          </w:divBdr>
          <w:divsChild>
            <w:div w:id="2141220546">
              <w:marLeft w:val="0"/>
              <w:marRight w:val="4553"/>
              <w:marTop w:val="0"/>
              <w:marBottom w:val="0"/>
              <w:divBdr>
                <w:top w:val="single" w:sz="2" w:space="0" w:color="auto"/>
                <w:left w:val="single" w:sz="2" w:space="0" w:color="auto"/>
                <w:bottom w:val="single" w:sz="2" w:space="0" w:color="auto"/>
                <w:right w:val="single" w:sz="2" w:space="0" w:color="auto"/>
              </w:divBdr>
              <w:divsChild>
                <w:div w:id="1840079228">
                  <w:marLeft w:val="0"/>
                  <w:marRight w:val="0"/>
                  <w:marTop w:val="0"/>
                  <w:marBottom w:val="0"/>
                  <w:divBdr>
                    <w:top w:val="single" w:sz="2" w:space="0" w:color="auto"/>
                    <w:left w:val="single" w:sz="2" w:space="0" w:color="auto"/>
                    <w:bottom w:val="single" w:sz="2" w:space="0" w:color="auto"/>
                    <w:right w:val="single" w:sz="2" w:space="0" w:color="auto"/>
                  </w:divBdr>
                </w:div>
              </w:divsChild>
            </w:div>
            <w:div w:id="341250517">
              <w:marLeft w:val="4553"/>
              <w:marRight w:val="4553"/>
              <w:marTop w:val="0"/>
              <w:marBottom w:val="0"/>
              <w:divBdr>
                <w:top w:val="single" w:sz="2" w:space="0" w:color="auto"/>
                <w:left w:val="single" w:sz="2" w:space="0" w:color="auto"/>
                <w:bottom w:val="single" w:sz="2" w:space="0" w:color="auto"/>
                <w:right w:val="single" w:sz="2" w:space="0" w:color="auto"/>
              </w:divBdr>
              <w:divsChild>
                <w:div w:id="9251125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45124308">
          <w:marLeft w:val="0"/>
          <w:marRight w:val="0"/>
          <w:marTop w:val="0"/>
          <w:marBottom w:val="0"/>
          <w:divBdr>
            <w:top w:val="single" w:sz="2" w:space="0" w:color="auto"/>
            <w:left w:val="single" w:sz="2" w:space="0" w:color="auto"/>
            <w:bottom w:val="single" w:sz="2" w:space="0" w:color="auto"/>
            <w:right w:val="single" w:sz="2" w:space="0" w:color="auto"/>
          </w:divBdr>
          <w:divsChild>
            <w:div w:id="112750703">
              <w:marLeft w:val="0"/>
              <w:marRight w:val="0"/>
              <w:marTop w:val="0"/>
              <w:marBottom w:val="0"/>
              <w:divBdr>
                <w:top w:val="single" w:sz="2" w:space="0" w:color="auto"/>
                <w:left w:val="single" w:sz="2" w:space="0" w:color="auto"/>
                <w:bottom w:val="single" w:sz="2" w:space="0" w:color="auto"/>
                <w:right w:val="single" w:sz="2" w:space="0" w:color="auto"/>
              </w:divBdr>
              <w:divsChild>
                <w:div w:id="2073193098">
                  <w:marLeft w:val="0"/>
                  <w:marRight w:val="0"/>
                  <w:marTop w:val="0"/>
                  <w:marBottom w:val="0"/>
                  <w:divBdr>
                    <w:top w:val="single" w:sz="2" w:space="0" w:color="auto"/>
                    <w:left w:val="single" w:sz="2" w:space="0" w:color="auto"/>
                    <w:bottom w:val="single" w:sz="2" w:space="0" w:color="auto"/>
                    <w:right w:val="single" w:sz="2" w:space="0" w:color="auto"/>
                  </w:divBdr>
                  <w:divsChild>
                    <w:div w:id="612248886">
                      <w:marLeft w:val="0"/>
                      <w:marRight w:val="0"/>
                      <w:marTop w:val="0"/>
                      <w:marBottom w:val="0"/>
                      <w:divBdr>
                        <w:top w:val="single" w:sz="2" w:space="0" w:color="auto"/>
                        <w:left w:val="single" w:sz="2" w:space="0" w:color="auto"/>
                        <w:bottom w:val="single" w:sz="2" w:space="0" w:color="auto"/>
                        <w:right w:val="single" w:sz="2" w:space="0" w:color="auto"/>
                      </w:divBdr>
                      <w:divsChild>
                        <w:div w:id="685518308">
                          <w:marLeft w:val="0"/>
                          <w:marRight w:val="0"/>
                          <w:marTop w:val="0"/>
                          <w:marBottom w:val="0"/>
                          <w:divBdr>
                            <w:top w:val="single" w:sz="2" w:space="0" w:color="auto"/>
                            <w:left w:val="single" w:sz="2" w:space="0" w:color="auto"/>
                            <w:bottom w:val="single" w:sz="2" w:space="0" w:color="auto"/>
                            <w:right w:val="single" w:sz="2" w:space="0" w:color="auto"/>
                          </w:divBdr>
                          <w:divsChild>
                            <w:div w:id="19250681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590412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18242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etm.org.uk/maths-hubs-projects/primary-teaching-for-mastery-development/" TargetMode="External"/><Relationship Id="rId13" Type="http://schemas.openxmlformats.org/officeDocument/2006/relationships/hyperlink" Target="https://d2tic4wvo1iusb.cloudfront.net/eef-guidance-reports/implementation/EEF-Implementation-Recommendations-Poster.pdf?v=1671185816" TargetMode="External"/><Relationship Id="rId18" Type="http://schemas.openxmlformats.org/officeDocument/2006/relationships/hyperlink" Target="https://educationendowmentfoundation.org.uk/education-evidence/teaching-learning-toolkit/teaching-assistant-intervention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1099677/Working_together_to_improve_school_attendance.pdf" TargetMode="External"/><Relationship Id="rId7" Type="http://schemas.openxmlformats.org/officeDocument/2006/relationships/hyperlink" Target="https://educationendowmentfoundation.org.uk/education-evidence/guidance-reports/early-maths" TargetMode="External"/><Relationship Id="rId12" Type="http://schemas.openxmlformats.org/officeDocument/2006/relationships/hyperlink" Target="https://d2tic4wvo1iusb.cloudfront.net/production/documents/guidance-for-teachers/pupil-premium/Pupil-Premium-2023.pdf?v=1696434151" TargetMode="External"/><Relationship Id="rId17" Type="http://schemas.openxmlformats.org/officeDocument/2006/relationships/hyperlink" Target="https://educationendowmentfoundation.org.uk/education-evidence/teaching-learning-toolkit/phonics" TargetMode="External"/><Relationship Id="rId25" Type="http://schemas.openxmlformats.org/officeDocument/2006/relationships/hyperlink" Target="https://educationendowmentfoundation.org.uk/education-evidence/teaching-learning-toolkit/parental-engagement" TargetMode="Externa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oral-language-interventions" TargetMode="External"/><Relationship Id="rId20" Type="http://schemas.openxmlformats.org/officeDocument/2006/relationships/hyperlink" Target="https://educationendowmentfoundation.org.uk/news/breakfast-clubs-found-to-boost-primary-pupils-reading-writing-and-maths-r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guidance-reports/effective-professional-development" TargetMode="External"/><Relationship Id="rId24" Type="http://schemas.openxmlformats.org/officeDocument/2006/relationships/hyperlink" Target="https://educationendowmentfoundation.org.uk/education-evidence/teaching-learning-toolkit/social-and-emotional-learning"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homework" TargetMode="External"/><Relationship Id="rId23" Type="http://schemas.openxmlformats.org/officeDocument/2006/relationships/hyperlink" Target="https://educationendowmentfoundation.org.uk/education-evidence/teaching-learning-toolkit/phonics" TargetMode="External"/><Relationship Id="rId28" Type="http://schemas.openxmlformats.org/officeDocument/2006/relationships/fontTable" Target="fontTable.xml"/><Relationship Id="rId10" Type="http://schemas.openxmlformats.org/officeDocument/2006/relationships/hyperlink" Target="https://educationendowmentfoundation.org.uk/education-evidence/teaching-learning-toolkit/reading-comprehension-strategies" TargetMode="External"/><Relationship Id="rId19" Type="http://schemas.openxmlformats.org/officeDocument/2006/relationships/hyperlink" Target="https://educationendowmentfoundation.org.uk/education-evidence/teaching-learning-toolkit/social-and-emotional-learning?utm_source=/education-evidence/teaching-learning-toolkit/social-and-emotional-learning&amp;utm_medium=search&amp;utm_campaign=site_search&amp;search_term=emotional%20support" TargetMode="External"/><Relationship Id="rId4" Type="http://schemas.openxmlformats.org/officeDocument/2006/relationships/webSettings" Target="webSettings.xml"/><Relationship Id="rId9" Type="http://schemas.openxmlformats.org/officeDocument/2006/relationships/hyperlink" Target="https://educationendowmentfoundation.org.uk/projects-and-evaluation/projects/mathematics-mastery-primary?utm_source=/projects-and-evaluation/projects/mathematics-mastery-primary&amp;utm_medium=search&amp;utm_campaign=site_search&amp;search_term=mastery" TargetMode="External"/><Relationship Id="rId14" Type="http://schemas.openxmlformats.org/officeDocument/2006/relationships/hyperlink" Target="https://d2tic4wvo1iusb.cloudfront.net/production/eef-guidance-reports/implementation/EEF_Implementation_Guidance_Report_2019.pdf?v=1699117433" TargetMode="External"/><Relationship Id="rId22" Type="http://schemas.openxmlformats.org/officeDocument/2006/relationships/hyperlink" Target="https://www.lotc.org.uk/wp-content/uploads/2023/02/Summary-of-Evidence-LOtC-in-Natural-Environments-Nov-2022.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18</Pages>
  <Words>4411</Words>
  <Characters>25148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Dan Nicholls</cp:lastModifiedBy>
  <cp:revision>4</cp:revision>
  <cp:lastPrinted>2023-09-18T13:05:00Z</cp:lastPrinted>
  <dcterms:created xsi:type="dcterms:W3CDTF">2025-11-27T10:01:00Z</dcterms:created>
  <dcterms:modified xsi:type="dcterms:W3CDTF">2025-11-27T11:06:00Z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